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Guidelines – 12/2022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rPr>
          </w:pPr>
          <w:r>
            <w:rPr/>
            <w:t>THE PRIMARY PURPOSE OF SERVICE</w:t>
            <w:tab/>
            <w:t>5</w:t>
          </w:r>
        </w:p>
        <w:p>
          <w:pPr>
            <w:pStyle w:val="Contents1"/>
            <w:tabs>
              <w:tab w:val="clear" w:pos="720"/>
              <w:tab w:val="right" w:pos="9350" w:leader="dot"/>
            </w:tabs>
            <w:rPr>
              <w:rFonts w:eastAsia="" w:eastAsiaTheme="minorEastAsia"/>
              <w:b w:val="false"/>
            </w:rPr>
          </w:pPr>
          <w:r>
            <w:rPr/>
            <w:t>CYCLES OF RECOVERY AND SERVICE</w:t>
            <w:tab/>
            <w:t>5</w:t>
          </w:r>
        </w:p>
        <w:p>
          <w:pPr>
            <w:pStyle w:val="Contents1"/>
            <w:tabs>
              <w:tab w:val="clear" w:pos="720"/>
              <w:tab w:val="right" w:pos="9350" w:leader="dot"/>
            </w:tabs>
            <w:rPr>
              <w:rFonts w:eastAsia="" w:eastAsiaTheme="minorEastAsia"/>
              <w:b w:val="false"/>
            </w:rPr>
          </w:pPr>
          <w:r>
            <w:rPr/>
            <w:t>NON-STRUCTURED SERVICE</w:t>
            <w:tab/>
            <w:t>6</w:t>
          </w:r>
        </w:p>
        <w:p>
          <w:pPr>
            <w:pStyle w:val="Contents1"/>
            <w:tabs>
              <w:tab w:val="clear" w:pos="720"/>
              <w:tab w:val="right" w:pos="9350" w:leader="dot"/>
            </w:tabs>
            <w:rPr>
              <w:rFonts w:eastAsia="" w:eastAsiaTheme="minorEastAsia"/>
              <w:b w:val="false"/>
            </w:rPr>
          </w:pPr>
          <w:r>
            <w:rPr/>
            <w:t>CARRYING THE MESSAGE THROUGH SERVICE WORK</w:t>
            <w:tab/>
            <w:t>6</w:t>
          </w:r>
        </w:p>
        <w:p>
          <w:pPr>
            <w:pStyle w:val="Contents1"/>
            <w:tabs>
              <w:tab w:val="clear" w:pos="720"/>
              <w:tab w:val="right" w:pos="9350" w:leader="dot"/>
            </w:tabs>
            <w:rPr>
              <w:rFonts w:eastAsia="" w:eastAsiaTheme="minorEastAsia"/>
              <w:b w:val="false"/>
            </w:rPr>
          </w:pPr>
          <w:r>
            <w:rPr/>
            <w:t>A CLOSING WORD</w:t>
            <w:tab/>
            <w:t>6</w:t>
          </w:r>
        </w:p>
        <w:p>
          <w:pPr>
            <w:pStyle w:val="Contents1"/>
            <w:tabs>
              <w:tab w:val="clear" w:pos="720"/>
              <w:tab w:val="right" w:pos="9350" w:leader="dot"/>
            </w:tabs>
            <w:rPr>
              <w:rFonts w:eastAsia="" w:eastAsiaTheme="minorEastAsia"/>
              <w:b w:val="false"/>
            </w:rPr>
          </w:pPr>
          <w:r>
            <w:rPr/>
            <w:t>ALL TRUSTED SERVANTS</w:t>
            <w:tab/>
            <w:t>7</w:t>
          </w:r>
        </w:p>
        <w:p>
          <w:pPr>
            <w:pStyle w:val="Contents1"/>
            <w:tabs>
              <w:tab w:val="clear" w:pos="720"/>
              <w:tab w:val="right" w:pos="9350" w:leader="dot"/>
            </w:tabs>
            <w:rPr>
              <w:rFonts w:eastAsia="" w:eastAsiaTheme="minorEastAsia"/>
              <w:b w:val="false"/>
            </w:rPr>
          </w:pPr>
          <w:r>
            <w:rPr/>
            <w:t>AREA SERVICE STRUCTURE</w:t>
            <w:tab/>
            <w:t>8</w:t>
          </w:r>
        </w:p>
        <w:p>
          <w:pPr>
            <w:pStyle w:val="Contents1"/>
            <w:tabs>
              <w:tab w:val="clear" w:pos="720"/>
              <w:tab w:val="right" w:pos="9350" w:leader="dot"/>
            </w:tabs>
            <w:rPr>
              <w:rFonts w:eastAsia="" w:eastAsiaTheme="minorEastAsia"/>
              <w:b w:val="false"/>
            </w:rPr>
          </w:pPr>
          <w:r>
            <w:rPr/>
            <w:t>TRADITION NINE</w:t>
            <w:tab/>
            <w:t>8</w:t>
          </w:r>
        </w:p>
        <w:p>
          <w:pPr>
            <w:pStyle w:val="Contents2"/>
            <w:tabs>
              <w:tab w:val="clear" w:pos="720"/>
              <w:tab w:val="right" w:pos="9350" w:leader="dot"/>
            </w:tabs>
            <w:rPr>
              <w:rFonts w:eastAsia="" w:eastAsiaTheme="minorEastAsia"/>
              <w:b w:val="false"/>
              <w:sz w:val="24"/>
              <w:szCs w:val="24"/>
            </w:rPr>
          </w:pPr>
          <w:r>
            <w:rPr/>
            <w:t>PURPOSE:</w:t>
            <w:tab/>
            <w:t>8</w:t>
          </w:r>
        </w:p>
        <w:p>
          <w:pPr>
            <w:pStyle w:val="Contents2"/>
            <w:tabs>
              <w:tab w:val="clear" w:pos="720"/>
              <w:tab w:val="right" w:pos="9350" w:leader="dot"/>
            </w:tabs>
            <w:rPr>
              <w:rFonts w:eastAsia="" w:eastAsiaTheme="minorEastAsia"/>
              <w:b w:val="false"/>
              <w:sz w:val="24"/>
              <w:szCs w:val="24"/>
            </w:rPr>
          </w:pPr>
          <w:r>
            <w:rPr/>
            <w:t>AREA SERVICE COMMITTEE:</w:t>
            <w:tab/>
            <w:t>8</w:t>
          </w:r>
        </w:p>
        <w:p>
          <w:pPr>
            <w:pStyle w:val="Contents2"/>
            <w:tabs>
              <w:tab w:val="clear" w:pos="720"/>
              <w:tab w:val="right" w:pos="9350" w:leader="dot"/>
            </w:tabs>
            <w:rPr>
              <w:rFonts w:eastAsia="" w:eastAsiaTheme="minorEastAsia"/>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sz w:val="24"/>
              <w:szCs w:val="24"/>
            </w:rPr>
          </w:pPr>
          <w:r>
            <w:rPr/>
            <w:t>DIRECT SERVICE REPRESENTATION:</w:t>
            <w:tab/>
            <w:t>9</w:t>
          </w:r>
        </w:p>
        <w:p>
          <w:pPr>
            <w:pStyle w:val="Contents2"/>
            <w:tabs>
              <w:tab w:val="clear" w:pos="720"/>
              <w:tab w:val="right" w:pos="9350" w:leader="dot"/>
            </w:tabs>
            <w:rPr>
              <w:rFonts w:eastAsia="" w:eastAsiaTheme="minorEastAsia"/>
              <w:b w:val="false"/>
              <w:sz w:val="24"/>
              <w:szCs w:val="24"/>
            </w:rPr>
          </w:pPr>
          <w:r>
            <w:rPr/>
            <w:t>TO DROP A GROUP:</w:t>
            <w:tab/>
            <w:t>9</w:t>
          </w:r>
        </w:p>
        <w:p>
          <w:pPr>
            <w:pStyle w:val="Contents2"/>
            <w:tabs>
              <w:tab w:val="clear" w:pos="720"/>
              <w:tab w:val="right" w:pos="9350" w:leader="dot"/>
            </w:tabs>
            <w:rPr>
              <w:rFonts w:eastAsia="" w:eastAsiaTheme="minorEastAsia"/>
              <w:b w:val="false"/>
              <w:sz w:val="24"/>
              <w:szCs w:val="24"/>
            </w:rPr>
          </w:pPr>
          <w:r>
            <w:rPr/>
            <w:t>AREA SERVICE COMMITTEE MEETINGS:</w:t>
            <w:tab/>
            <w:t>9</w:t>
          </w:r>
        </w:p>
        <w:p>
          <w:pPr>
            <w:pStyle w:val="Contents1"/>
            <w:tabs>
              <w:tab w:val="clear" w:pos="720"/>
              <w:tab w:val="right" w:pos="9350" w:leader="dot"/>
            </w:tabs>
            <w:rPr>
              <w:rFonts w:eastAsia="" w:eastAsiaTheme="minorEastAsia"/>
              <w:b w:val="false"/>
            </w:rPr>
          </w:pPr>
          <w:r>
            <w:rPr/>
            <w:t>AGENDA</w:t>
            <w:tab/>
            <w:t>10</w:t>
          </w:r>
        </w:p>
        <w:p>
          <w:pPr>
            <w:pStyle w:val="Contents1"/>
            <w:tabs>
              <w:tab w:val="clear" w:pos="720"/>
              <w:tab w:val="right" w:pos="9350" w:leader="dot"/>
            </w:tabs>
            <w:rPr>
              <w:rFonts w:eastAsia="" w:eastAsiaTheme="minorEastAsia"/>
              <w:b w:val="false"/>
            </w:rPr>
          </w:pPr>
          <w:r>
            <w:rPr/>
            <w:t>FORMAT OF AN AREA SERVICE COMMITTEE MEETING</w:t>
            <w:tab/>
            <w:t>10</w:t>
          </w:r>
        </w:p>
        <w:p>
          <w:pPr>
            <w:pStyle w:val="Contents2"/>
            <w:tabs>
              <w:tab w:val="clear" w:pos="720"/>
              <w:tab w:val="right" w:pos="9350" w:leader="dot"/>
            </w:tabs>
            <w:rPr>
              <w:rFonts w:eastAsia="" w:eastAsiaTheme="minorEastAsia"/>
              <w:b w:val="false"/>
              <w:sz w:val="24"/>
              <w:szCs w:val="24"/>
            </w:rPr>
          </w:pPr>
          <w:r>
            <w:rPr/>
            <w:t>DISCUSSION LIMITS:</w:t>
            <w:tab/>
            <w:t>11</w:t>
          </w:r>
        </w:p>
        <w:p>
          <w:pPr>
            <w:pStyle w:val="Contents2"/>
            <w:tabs>
              <w:tab w:val="clear" w:pos="720"/>
              <w:tab w:val="right" w:pos="9350" w:leader="dot"/>
            </w:tabs>
            <w:rPr>
              <w:rFonts w:eastAsia="" w:eastAsiaTheme="minorEastAsia"/>
              <w:b w:val="false"/>
              <w:sz w:val="24"/>
              <w:szCs w:val="24"/>
            </w:rPr>
          </w:pPr>
          <w:r>
            <w:rPr/>
            <w:t>VOTING:</w:t>
            <w:tab/>
            <w:t>11</w:t>
          </w:r>
        </w:p>
        <w:p>
          <w:pPr>
            <w:pStyle w:val="Contents2"/>
            <w:tabs>
              <w:tab w:val="clear" w:pos="720"/>
              <w:tab w:val="right" w:pos="9350" w:leader="dot"/>
            </w:tabs>
            <w:rPr>
              <w:rFonts w:eastAsia="" w:eastAsiaTheme="minorEastAsia"/>
              <w:b w:val="false"/>
              <w:sz w:val="24"/>
              <w:szCs w:val="24"/>
            </w:rPr>
          </w:pPr>
          <w:r>
            <w:rPr/>
            <w:t>REPORTS:</w:t>
            <w:tab/>
            <w:t>11</w:t>
          </w:r>
        </w:p>
        <w:p>
          <w:pPr>
            <w:pStyle w:val="Contents2"/>
            <w:tabs>
              <w:tab w:val="clear" w:pos="720"/>
              <w:tab w:val="right" w:pos="9350" w:leader="dot"/>
            </w:tabs>
            <w:rPr>
              <w:rFonts w:eastAsia="" w:eastAsiaTheme="minorEastAsia"/>
              <w:b w:val="false"/>
              <w:sz w:val="24"/>
              <w:szCs w:val="24"/>
            </w:rPr>
          </w:pPr>
          <w:r>
            <w:rPr/>
            <w:t>MOTIONS:</w:t>
            <w:tab/>
            <w:t>11</w:t>
          </w:r>
        </w:p>
        <w:p>
          <w:pPr>
            <w:pStyle w:val="Contents1"/>
            <w:tabs>
              <w:tab w:val="clear" w:pos="720"/>
              <w:tab w:val="right" w:pos="9350" w:leader="dot"/>
            </w:tabs>
            <w:rPr>
              <w:rFonts w:eastAsia="" w:eastAsiaTheme="minorEastAsia"/>
              <w:b w:val="false"/>
            </w:rPr>
          </w:pPr>
          <w:r>
            <w:rPr/>
            <w:t>ELECTION OF OFFICERS</w:t>
            <w:tab/>
            <w:t>12</w:t>
          </w:r>
        </w:p>
        <w:p>
          <w:pPr>
            <w:pStyle w:val="Contents2"/>
            <w:tabs>
              <w:tab w:val="clear" w:pos="720"/>
              <w:tab w:val="right" w:pos="9350" w:leader="dot"/>
            </w:tabs>
            <w:rPr>
              <w:rFonts w:eastAsia="" w:eastAsiaTheme="minorEastAsia"/>
              <w:b w:val="false"/>
              <w:sz w:val="24"/>
              <w:szCs w:val="24"/>
            </w:rPr>
          </w:pPr>
          <w:r>
            <w:rPr/>
            <w:t>ELECTION OF NEW OFFICERS:</w:t>
            <w:tab/>
            <w:t>12</w:t>
          </w:r>
        </w:p>
        <w:p>
          <w:pPr>
            <w:pStyle w:val="Contents2"/>
            <w:tabs>
              <w:tab w:val="clear" w:pos="720"/>
              <w:tab w:val="right" w:pos="9350" w:leader="dot"/>
            </w:tabs>
            <w:rPr>
              <w:rFonts w:eastAsia="" w:eastAsiaTheme="minorEastAsia"/>
              <w:b w:val="false"/>
              <w:sz w:val="24"/>
              <w:szCs w:val="24"/>
            </w:rPr>
          </w:pPr>
          <w:r>
            <w:rPr/>
            <w:t>ELECTION OF VACATED OFFICES:</w:t>
            <w:tab/>
            <w:t>13</w:t>
          </w:r>
        </w:p>
        <w:p>
          <w:pPr>
            <w:pStyle w:val="Contents1"/>
            <w:tabs>
              <w:tab w:val="clear" w:pos="720"/>
              <w:tab w:val="right" w:pos="9350" w:leader="dot"/>
            </w:tabs>
            <w:rPr>
              <w:rFonts w:eastAsia="" w:eastAsiaTheme="minorEastAsia"/>
              <w:b w:val="false"/>
            </w:rPr>
          </w:pPr>
          <w:r>
            <w:rPr/>
            <w:t>RESIGNATIONS AND IMPEACHMENTS</w:t>
            <w:tab/>
            <w:t>13</w:t>
          </w:r>
        </w:p>
        <w:p>
          <w:pPr>
            <w:pStyle w:val="Contents2"/>
            <w:tabs>
              <w:tab w:val="clear" w:pos="720"/>
              <w:tab w:val="right" w:pos="9350" w:leader="dot"/>
            </w:tabs>
            <w:rPr>
              <w:rFonts w:eastAsia="" w:eastAsiaTheme="minorEastAsia"/>
              <w:b w:val="false"/>
              <w:sz w:val="24"/>
              <w:szCs w:val="24"/>
            </w:rPr>
          </w:pPr>
          <w:r>
            <w:rPr/>
            <w:t>VOLUNTARY:</w:t>
            <w:tab/>
            <w:t>13</w:t>
          </w:r>
        </w:p>
        <w:p>
          <w:pPr>
            <w:pStyle w:val="Contents2"/>
            <w:tabs>
              <w:tab w:val="clear" w:pos="720"/>
              <w:tab w:val="right" w:pos="9350" w:leader="dot"/>
            </w:tabs>
            <w:rPr>
              <w:rFonts w:eastAsia="" w:eastAsiaTheme="minorEastAsia"/>
              <w:b w:val="false"/>
              <w:sz w:val="24"/>
              <w:szCs w:val="24"/>
            </w:rPr>
          </w:pPr>
          <w:r>
            <w:rPr/>
            <w:t>INVOLUNTARY:</w:t>
            <w:tab/>
            <w:t>14</w:t>
          </w:r>
        </w:p>
        <w:p>
          <w:pPr>
            <w:pStyle w:val="Contents2"/>
            <w:tabs>
              <w:tab w:val="clear" w:pos="720"/>
              <w:tab w:val="right" w:pos="9350" w:leader="dot"/>
            </w:tabs>
            <w:rPr>
              <w:rFonts w:eastAsia="" w:eastAsiaTheme="minorEastAsia"/>
              <w:b w:val="false"/>
              <w:sz w:val="24"/>
              <w:szCs w:val="24"/>
            </w:rPr>
          </w:pPr>
          <w:r>
            <w:rPr/>
            <w:t>IMPEACHMENT:</w:t>
            <w:tab/>
            <w:t>14</w:t>
          </w:r>
        </w:p>
        <w:p>
          <w:pPr>
            <w:pStyle w:val="Contents1"/>
            <w:tabs>
              <w:tab w:val="clear" w:pos="720"/>
              <w:tab w:val="right" w:pos="9350" w:leader="dot"/>
            </w:tabs>
            <w:rPr>
              <w:rFonts w:eastAsia="" w:eastAsiaTheme="minorEastAsia"/>
              <w:b w:val="false"/>
            </w:rPr>
          </w:pPr>
          <w:r>
            <w:rPr/>
            <w:t>SPECIAL VOTE OF THE AREA SERVICE COMMITTEE</w:t>
            <w:tab/>
            <w:t>14</w:t>
          </w:r>
        </w:p>
        <w:p>
          <w:pPr>
            <w:pStyle w:val="Contents1"/>
            <w:tabs>
              <w:tab w:val="clear" w:pos="720"/>
              <w:tab w:val="right" w:pos="9350" w:leader="dot"/>
            </w:tabs>
            <w:rPr>
              <w:rFonts w:eastAsia="" w:eastAsiaTheme="minorEastAsia"/>
              <w:b w:val="false"/>
            </w:rPr>
          </w:pPr>
          <w:r>
            <w:rPr/>
            <w:t>ASC ADMINISTRATIVE COMMITTEE</w:t>
            <w:tab/>
            <w:t>14</w:t>
          </w:r>
        </w:p>
        <w:p>
          <w:pPr>
            <w:pStyle w:val="Contents2"/>
            <w:tabs>
              <w:tab w:val="clear" w:pos="720"/>
              <w:tab w:val="right" w:pos="9350" w:leader="dot"/>
            </w:tabs>
            <w:rPr>
              <w:rFonts w:eastAsia="" w:eastAsiaTheme="minorEastAsia"/>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rPr>
          </w:pPr>
          <w:r>
            <w:rPr/>
            <w:t>FINANCIAL GUIDELINES</w:t>
            <w:tab/>
            <w:t>16</w:t>
          </w:r>
        </w:p>
        <w:p>
          <w:pPr>
            <w:pStyle w:val="Contents2"/>
            <w:tabs>
              <w:tab w:val="clear" w:pos="720"/>
              <w:tab w:val="right" w:pos="9350" w:leader="dot"/>
            </w:tabs>
            <w:rPr>
              <w:rFonts w:eastAsia="" w:eastAsiaTheme="minorEastAsia"/>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rPr>
          </w:pPr>
          <w:r>
            <w:rPr/>
            <w:t>ABOUT SUB-COMMITTEES</w:t>
            <w:tab/>
            <w:t>18</w:t>
          </w:r>
        </w:p>
        <w:p>
          <w:pPr>
            <w:pStyle w:val="Contents1"/>
            <w:tabs>
              <w:tab w:val="clear" w:pos="720"/>
              <w:tab w:val="right" w:pos="9350" w:leader="dot"/>
            </w:tabs>
            <w:rPr>
              <w:rFonts w:eastAsia="" w:eastAsiaTheme="minorEastAsia"/>
              <w:b w:val="false"/>
            </w:rPr>
          </w:pPr>
          <w:r>
            <w:rPr/>
            <w:t>SUB-COMMITTEE OFFICER QUALIFICATIONS</w:t>
            <w:tab/>
            <w:t>19</w:t>
          </w:r>
        </w:p>
        <w:p>
          <w:pPr>
            <w:pStyle w:val="Contents2"/>
            <w:tabs>
              <w:tab w:val="clear" w:pos="720"/>
              <w:tab w:val="right" w:pos="9350" w:leader="dot"/>
            </w:tabs>
            <w:rPr>
              <w:rFonts w:eastAsia="" w:eastAsiaTheme="minorEastAsia"/>
              <w:b w:val="false"/>
              <w:sz w:val="24"/>
              <w:szCs w:val="24"/>
            </w:rPr>
          </w:pPr>
          <w:r>
            <w:rPr/>
            <w:t>SUB-COMMITTEE CHAIRPERSON:</w:t>
            <w:tab/>
            <w:t>19</w:t>
          </w:r>
        </w:p>
        <w:p>
          <w:pPr>
            <w:pStyle w:val="Contents2"/>
            <w:tabs>
              <w:tab w:val="clear" w:pos="720"/>
              <w:tab w:val="right" w:pos="9350" w:leader="dot"/>
            </w:tabs>
            <w:rPr>
              <w:rFonts w:eastAsia="" w:eastAsiaTheme="minorEastAsia"/>
              <w:b w:val="false"/>
              <w:sz w:val="24"/>
              <w:szCs w:val="24"/>
            </w:rPr>
          </w:pPr>
          <w:r>
            <w:rPr/>
            <w:t>SUB-COMMITTEE OFFICER:</w:t>
            <w:tab/>
            <w:t>19</w:t>
          </w:r>
        </w:p>
        <w:p>
          <w:pPr>
            <w:pStyle w:val="Contents1"/>
            <w:tabs>
              <w:tab w:val="clear" w:pos="720"/>
              <w:tab w:val="right" w:pos="9350" w:leader="dot"/>
            </w:tabs>
            <w:rPr>
              <w:rFonts w:eastAsia="" w:eastAsiaTheme="minorEastAsia"/>
              <w:b w:val="false"/>
            </w:rPr>
          </w:pPr>
          <w:r>
            <w:rPr/>
            <w:t>FELLOWSHIP DEVELOPMENT:</w:t>
            <w:tab/>
            <w:t>20</w:t>
          </w:r>
        </w:p>
        <w:p>
          <w:pPr>
            <w:pStyle w:val="Contents2"/>
            <w:tabs>
              <w:tab w:val="clear" w:pos="720"/>
              <w:tab w:val="right" w:pos="9350" w:leader="dot"/>
            </w:tabs>
            <w:rPr>
              <w:rFonts w:eastAsia="" w:eastAsiaTheme="minorEastAsia"/>
              <w:b w:val="false"/>
              <w:sz w:val="24"/>
              <w:szCs w:val="24"/>
            </w:rPr>
          </w:pPr>
          <w:r>
            <w:rPr/>
            <w:t>PURPOSE:</w:t>
            <w:tab/>
            <w:t>20</w:t>
          </w:r>
        </w:p>
        <w:p>
          <w:pPr>
            <w:pStyle w:val="Contents2"/>
            <w:tabs>
              <w:tab w:val="clear" w:pos="720"/>
              <w:tab w:val="right" w:pos="9350" w:leader="dot"/>
            </w:tabs>
            <w:rPr>
              <w:rFonts w:eastAsia="" w:eastAsiaTheme="minorEastAsia"/>
              <w:b w:val="false"/>
              <w:sz w:val="24"/>
              <w:szCs w:val="24"/>
            </w:rPr>
          </w:pPr>
          <w:r>
            <w:rPr/>
            <w:t>MEETINGS AND MEMBERSHIP:</w:t>
            <w:tab/>
            <w:t>20</w:t>
          </w:r>
        </w:p>
        <w:p>
          <w:pPr>
            <w:pStyle w:val="Contents2"/>
            <w:tabs>
              <w:tab w:val="clear" w:pos="720"/>
              <w:tab w:val="right" w:pos="9350" w:leader="dot"/>
            </w:tabs>
            <w:rPr>
              <w:rFonts w:eastAsia="" w:eastAsiaTheme="minorEastAsia"/>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sz w:val="24"/>
              <w:szCs w:val="24"/>
            </w:rPr>
          </w:pPr>
          <w:r>
            <w:rPr/>
            <w:t>PUBLIC PRESENTATIONS:</w:t>
            <w:tab/>
            <w:t>21</w:t>
          </w:r>
        </w:p>
        <w:p>
          <w:pPr>
            <w:pStyle w:val="Contents2"/>
            <w:tabs>
              <w:tab w:val="clear" w:pos="720"/>
              <w:tab w:val="right" w:pos="9350" w:leader="dot"/>
            </w:tabs>
            <w:rPr>
              <w:rFonts w:eastAsia="" w:eastAsiaTheme="minorEastAsia"/>
              <w:b w:val="false"/>
              <w:sz w:val="24"/>
              <w:szCs w:val="24"/>
            </w:rPr>
          </w:pPr>
          <w:r>
            <w:rPr/>
            <w:t>MEETING LISTS:</w:t>
            <w:tab/>
            <w:t>21</w:t>
          </w:r>
        </w:p>
        <w:p>
          <w:pPr>
            <w:pStyle w:val="Contents2"/>
            <w:tabs>
              <w:tab w:val="clear" w:pos="720"/>
              <w:tab w:val="right" w:pos="9350" w:leader="dot"/>
            </w:tabs>
            <w:rPr>
              <w:rFonts w:eastAsia="" w:eastAsiaTheme="minorEastAsia"/>
              <w:b w:val="false"/>
              <w:sz w:val="24"/>
              <w:szCs w:val="24"/>
            </w:rPr>
          </w:pPr>
          <w:r>
            <w:rPr/>
            <w:t>PUBLIC RELATION MAIL-OUTS:</w:t>
            <w:tab/>
            <w:t>21</w:t>
          </w:r>
        </w:p>
        <w:p>
          <w:pPr>
            <w:pStyle w:val="Contents1"/>
            <w:tabs>
              <w:tab w:val="clear" w:pos="720"/>
              <w:tab w:val="right" w:pos="9350" w:leader="dot"/>
            </w:tabs>
            <w:rPr>
              <w:rFonts w:eastAsia="" w:eastAsiaTheme="minorEastAsia"/>
              <w:b w:val="false"/>
            </w:rPr>
          </w:pPr>
          <w:r>
            <w:rPr/>
            <w:t>PHONE LINE POLICY REVISED AUGUST 2015</w:t>
            <w:tab/>
            <w:t>22</w:t>
          </w:r>
        </w:p>
        <w:p>
          <w:pPr>
            <w:pStyle w:val="Contents1"/>
            <w:tabs>
              <w:tab w:val="clear" w:pos="720"/>
              <w:tab w:val="right" w:pos="9350" w:leader="dot"/>
            </w:tabs>
            <w:rPr>
              <w:rFonts w:eastAsia="" w:eastAsiaTheme="minorEastAsia"/>
              <w:b w:val="false"/>
            </w:rPr>
          </w:pPr>
          <w:r>
            <w:rPr/>
            <w:t>POLICY</w:t>
            <w:tab/>
            <w:t>23</w:t>
          </w:r>
        </w:p>
        <w:p>
          <w:pPr>
            <w:pStyle w:val="Contents1"/>
            <w:tabs>
              <w:tab w:val="clear" w:pos="720"/>
              <w:tab w:val="right" w:pos="9350" w:leader="dot"/>
            </w:tabs>
            <w:rPr>
              <w:rFonts w:eastAsia="" w:eastAsiaTheme="minorEastAsia"/>
              <w:b w:val="false"/>
            </w:rPr>
          </w:pPr>
          <w:r>
            <w:rPr/>
            <w:t>ACTIVITIES</w:t>
            <w:tab/>
            <w:t>23</w:t>
          </w:r>
        </w:p>
        <w:p>
          <w:pPr>
            <w:pStyle w:val="Contents2"/>
            <w:tabs>
              <w:tab w:val="clear" w:pos="720"/>
              <w:tab w:val="right" w:pos="9350" w:leader="dot"/>
            </w:tabs>
            <w:rPr>
              <w:rFonts w:eastAsia="" w:eastAsiaTheme="minorEastAsia"/>
              <w:b w:val="false"/>
              <w:sz w:val="24"/>
              <w:szCs w:val="24"/>
            </w:rPr>
          </w:pPr>
          <w:r>
            <w:rPr/>
            <w:t>PURPOSE:</w:t>
            <w:tab/>
            <w:t>23</w:t>
          </w:r>
        </w:p>
        <w:p>
          <w:pPr>
            <w:pStyle w:val="Contents2"/>
            <w:tabs>
              <w:tab w:val="clear" w:pos="720"/>
              <w:tab w:val="right" w:pos="9350" w:leader="dot"/>
            </w:tabs>
            <w:rPr>
              <w:rFonts w:eastAsia="" w:eastAsiaTheme="minorEastAsia"/>
              <w:b w:val="false"/>
              <w:sz w:val="24"/>
              <w:szCs w:val="24"/>
            </w:rPr>
          </w:pPr>
          <w:r>
            <w:rPr/>
            <w:t>MEETINGS AND MEMBERSHIP:</w:t>
            <w:tab/>
            <w:t>23</w:t>
          </w:r>
        </w:p>
        <w:p>
          <w:pPr>
            <w:pStyle w:val="Contents2"/>
            <w:tabs>
              <w:tab w:val="clear" w:pos="720"/>
              <w:tab w:val="right" w:pos="9350" w:leader="dot"/>
            </w:tabs>
            <w:rPr>
              <w:rFonts w:eastAsia="" w:eastAsiaTheme="minorEastAsia"/>
              <w:b w:val="false"/>
              <w:sz w:val="24"/>
              <w:szCs w:val="24"/>
            </w:rPr>
          </w:pPr>
          <w:r>
            <w:rPr/>
            <w:t>REQUIREMENTS AND DUTIES OF OFFICERS:</w:t>
            <w:tab/>
            <w:t>23</w:t>
          </w:r>
        </w:p>
        <w:p>
          <w:pPr>
            <w:pStyle w:val="Contents2"/>
            <w:tabs>
              <w:tab w:val="clear" w:pos="720"/>
              <w:tab w:val="right" w:pos="9350" w:leader="dot"/>
            </w:tabs>
            <w:rPr>
              <w:rFonts w:eastAsia="" w:eastAsiaTheme="minorEastAsia"/>
              <w:b w:val="false"/>
              <w:sz w:val="24"/>
              <w:szCs w:val="24"/>
            </w:rPr>
          </w:pPr>
          <w:r>
            <w:rPr/>
            <w:t>CHAIRPERSON:</w:t>
            <w:tab/>
            <w:t>23</w:t>
          </w:r>
        </w:p>
        <w:p>
          <w:pPr>
            <w:pStyle w:val="Contents2"/>
            <w:tabs>
              <w:tab w:val="clear" w:pos="720"/>
              <w:tab w:val="right" w:pos="9350" w:leader="dot"/>
            </w:tabs>
            <w:rPr>
              <w:rFonts w:eastAsia="" w:eastAsiaTheme="minorEastAsia"/>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sz w:val="24"/>
              <w:szCs w:val="24"/>
            </w:rPr>
          </w:pPr>
          <w:r>
            <w:rPr/>
            <w:t>VICE-CHAIRPERSON:</w:t>
            <w:tab/>
            <w:t>24</w:t>
          </w:r>
        </w:p>
        <w:p>
          <w:pPr>
            <w:pStyle w:val="Contents2"/>
            <w:tabs>
              <w:tab w:val="clear" w:pos="720"/>
              <w:tab w:val="right" w:pos="9350" w:leader="dot"/>
            </w:tabs>
            <w:rPr>
              <w:rFonts w:eastAsia="" w:eastAsiaTheme="minorEastAsia"/>
              <w:b w:val="false"/>
              <w:sz w:val="24"/>
              <w:szCs w:val="24"/>
            </w:rPr>
          </w:pPr>
          <w:r>
            <w:rPr/>
            <w:t>SECRETARY:</w:t>
            <w:tab/>
            <w:t>24</w:t>
          </w:r>
        </w:p>
        <w:p>
          <w:pPr>
            <w:pStyle w:val="Contents2"/>
            <w:tabs>
              <w:tab w:val="clear" w:pos="720"/>
              <w:tab w:val="right" w:pos="9350" w:leader="dot"/>
            </w:tabs>
            <w:rPr>
              <w:rFonts w:eastAsia="" w:eastAsiaTheme="minorEastAsia"/>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rPr>
          </w:pPr>
          <w:r>
            <w:rPr/>
            <w:t>HOSPITALS AND INSTITUTIONS</w:t>
            <w:tab/>
            <w:t>25</w:t>
          </w:r>
        </w:p>
        <w:p>
          <w:pPr>
            <w:pStyle w:val="Contents1"/>
            <w:tabs>
              <w:tab w:val="clear" w:pos="720"/>
              <w:tab w:val="right" w:pos="9350" w:leader="dot"/>
            </w:tabs>
            <w:rPr>
              <w:rFonts w:eastAsia="" w:eastAsiaTheme="minorEastAsia"/>
              <w:b w:val="false"/>
            </w:rPr>
          </w:pPr>
          <w:r>
            <w:rPr/>
            <w:t>LITERATURE</w:t>
            <w:tab/>
            <w:t>25</w:t>
          </w:r>
        </w:p>
        <w:p>
          <w:pPr>
            <w:pStyle w:val="Contents2"/>
            <w:tabs>
              <w:tab w:val="clear" w:pos="720"/>
              <w:tab w:val="right" w:pos="9350" w:leader="dot"/>
            </w:tabs>
            <w:rPr>
              <w:rFonts w:eastAsia="" w:eastAsiaTheme="minorEastAsia"/>
              <w:b w:val="false"/>
              <w:sz w:val="24"/>
              <w:szCs w:val="24"/>
            </w:rPr>
          </w:pPr>
          <w:r>
            <w:rPr/>
            <w:t>PURPOSE:</w:t>
            <w:tab/>
            <w:t>25</w:t>
          </w:r>
        </w:p>
        <w:p>
          <w:pPr>
            <w:pStyle w:val="Contents2"/>
            <w:tabs>
              <w:tab w:val="clear" w:pos="720"/>
              <w:tab w:val="right" w:pos="9350" w:leader="dot"/>
            </w:tabs>
            <w:rPr>
              <w:rFonts w:eastAsia="" w:eastAsiaTheme="minorEastAsia"/>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sz w:val="24"/>
              <w:szCs w:val="24"/>
            </w:rPr>
          </w:pPr>
          <w:r>
            <w:rPr>
              <w:rFonts w:eastAsia="" w:eastAsiaTheme="minorEastAsia"/>
              <w:b w:val="false"/>
              <w:sz w:val="24"/>
              <w:szCs w:val="24"/>
            </w:rPr>
          </w:r>
        </w:p>
        <w:p>
          <w:pPr>
            <w:pStyle w:val="Contents1"/>
            <w:tabs>
              <w:tab w:val="clear" w:pos="720"/>
              <w:tab w:val="right" w:pos="9350" w:leader="dot"/>
            </w:tabs>
            <w:rPr>
              <w:rFonts w:eastAsia="" w:eastAsiaTheme="minorEastAsia"/>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sz w:val="24"/>
              <w:szCs w:val="24"/>
            </w:rPr>
          </w:pPr>
          <w:r>
            <w:rPr/>
            <w:t>INTRODUCTION</w:t>
            <w:tab/>
            <w:t>28</w:t>
          </w:r>
        </w:p>
        <w:p>
          <w:pPr>
            <w:pStyle w:val="Contents2"/>
            <w:tabs>
              <w:tab w:val="clear" w:pos="720"/>
              <w:tab w:val="right" w:pos="9350" w:leader="dot"/>
            </w:tabs>
            <w:rPr>
              <w:rFonts w:eastAsia="" w:eastAsiaTheme="minorEastAsia"/>
              <w:b w:val="false"/>
              <w:sz w:val="24"/>
              <w:szCs w:val="24"/>
            </w:rPr>
          </w:pPr>
          <w:r>
            <w:rPr/>
            <w:t>I.  PURPOSE, NAME, AND ACCOUNTABILITY:</w:t>
            <w:tab/>
            <w:t>28</w:t>
          </w:r>
        </w:p>
        <w:p>
          <w:pPr>
            <w:pStyle w:val="Contents2"/>
            <w:tabs>
              <w:tab w:val="clear" w:pos="720"/>
              <w:tab w:val="right" w:pos="9350" w:leader="dot"/>
            </w:tabs>
            <w:rPr>
              <w:rFonts w:eastAsia="" w:eastAsiaTheme="minorEastAsia"/>
              <w:b w:val="false"/>
              <w:sz w:val="24"/>
              <w:szCs w:val="24"/>
            </w:rPr>
          </w:pPr>
          <w:r>
            <w:rPr/>
            <w:t>II.  FINANCES AND OWNERSHIP:</w:t>
            <w:tab/>
            <w:t>29</w:t>
          </w:r>
        </w:p>
        <w:p>
          <w:pPr>
            <w:pStyle w:val="Contents2"/>
            <w:tabs>
              <w:tab w:val="clear" w:pos="720"/>
              <w:tab w:val="right" w:pos="9350" w:leader="dot"/>
            </w:tabs>
            <w:rPr>
              <w:rFonts w:eastAsia="" w:eastAsiaTheme="minorEastAsia"/>
              <w:b w:val="false"/>
              <w:sz w:val="24"/>
              <w:szCs w:val="24"/>
            </w:rPr>
          </w:pPr>
          <w:r>
            <w:rPr/>
            <w:t>III.  REPORTING AND COMMUNICATIONS</w:t>
            <w:tab/>
            <w:t>29</w:t>
          </w:r>
        </w:p>
        <w:p>
          <w:pPr>
            <w:pStyle w:val="Contents2"/>
            <w:tabs>
              <w:tab w:val="clear" w:pos="720"/>
              <w:tab w:val="right" w:pos="9350" w:leader="dot"/>
            </w:tabs>
            <w:rPr>
              <w:rFonts w:eastAsia="" w:eastAsiaTheme="minorEastAsia"/>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sz w:val="24"/>
              <w:szCs w:val="24"/>
            </w:rPr>
          </w:pPr>
          <w:r>
            <w:rPr/>
            <w:t>VI.  WEBSITE CONTENT:</w:t>
            <w:tab/>
            <w:t>31</w:t>
          </w:r>
        </w:p>
        <w:p>
          <w:pPr>
            <w:pStyle w:val="Contents2"/>
            <w:tabs>
              <w:tab w:val="clear" w:pos="720"/>
              <w:tab w:val="right" w:pos="9350" w:leader="dot"/>
            </w:tabs>
            <w:rPr>
              <w:rFonts w:eastAsia="" w:eastAsiaTheme="minorEastAsia"/>
              <w:b w:val="false"/>
              <w:sz w:val="24"/>
              <w:szCs w:val="24"/>
            </w:rPr>
          </w:pPr>
          <w:r>
            <w:rPr/>
            <w:t>VII.  EMAIL GUIDELINES:</w:t>
            <w:tab/>
            <w:t>31</w:t>
          </w:r>
        </w:p>
        <w:p>
          <w:pPr>
            <w:pStyle w:val="Contents2"/>
            <w:tabs>
              <w:tab w:val="clear" w:pos="720"/>
              <w:tab w:val="right" w:pos="9350" w:leader="dot"/>
            </w:tabs>
            <w:rPr>
              <w:rFonts w:eastAsia="" w:eastAsiaTheme="minorEastAsia"/>
              <w:b w:val="false"/>
              <w:sz w:val="24"/>
              <w:szCs w:val="24"/>
            </w:rPr>
          </w:pPr>
          <w:r>
            <w:rPr/>
            <w:t>VIII.  TECHNICAL GUIDELINES</w:t>
            <w:tab/>
            <w:t>32</w:t>
          </w:r>
        </w:p>
        <w:p>
          <w:pPr>
            <w:pStyle w:val="Contents1"/>
            <w:tabs>
              <w:tab w:val="clear" w:pos="720"/>
              <w:tab w:val="right" w:pos="9350" w:leader="dot"/>
            </w:tabs>
            <w:rPr>
              <w:rFonts w:eastAsia="" w:eastAsiaTheme="minorEastAsia"/>
              <w:b w:val="false"/>
            </w:rPr>
          </w:pPr>
          <w:r>
            <w:rPr/>
            <w:t>CONVENTION</w:t>
            <w:tab/>
            <w:t>32</w:t>
          </w:r>
        </w:p>
        <w:p>
          <w:pPr>
            <w:pStyle w:val="Contents1"/>
            <w:tabs>
              <w:tab w:val="clear" w:pos="720"/>
              <w:tab w:val="right" w:pos="9350" w:leader="dot"/>
            </w:tabs>
            <w:rPr>
              <w:rFonts w:eastAsia="" w:eastAsiaTheme="minorEastAsia"/>
              <w:b w:val="false"/>
            </w:rPr>
          </w:pPr>
          <w:r>
            <w:rPr/>
            <w:t>CONFLICTS OF INTEREST POLICY</w:t>
            <w:tab/>
            <w:t>33</w:t>
          </w:r>
        </w:p>
        <w:p>
          <w:pPr>
            <w:pStyle w:val="Contents2"/>
            <w:tabs>
              <w:tab w:val="clear" w:pos="720"/>
              <w:tab w:val="right" w:pos="9350" w:leader="dot"/>
            </w:tabs>
            <w:rPr>
              <w:rFonts w:eastAsia="" w:eastAsiaTheme="minorEastAsia"/>
              <w:b w:val="false"/>
              <w:sz w:val="24"/>
              <w:szCs w:val="24"/>
            </w:rPr>
          </w:pPr>
          <w:r>
            <w:rPr/>
            <w:t>I.  REASON FOR STATEMENT</w:t>
            <w:tab/>
            <w:t>33</w:t>
          </w:r>
        </w:p>
        <w:p>
          <w:pPr>
            <w:pStyle w:val="Contents2"/>
            <w:tabs>
              <w:tab w:val="clear" w:pos="720"/>
              <w:tab w:val="right" w:pos="9350" w:leader="dot"/>
            </w:tabs>
            <w:rPr>
              <w:rFonts w:eastAsia="" w:eastAsiaTheme="minorEastAsia"/>
              <w:b w:val="false"/>
              <w:sz w:val="24"/>
              <w:szCs w:val="24"/>
            </w:rPr>
          </w:pPr>
          <w:r>
            <w:rPr/>
            <w:t>2.  PERSONS CONCERNED</w:t>
            <w:tab/>
            <w:t>33</w:t>
          </w:r>
        </w:p>
        <w:p>
          <w:pPr>
            <w:pStyle w:val="Contents2"/>
            <w:tabs>
              <w:tab w:val="clear" w:pos="720"/>
              <w:tab w:val="right" w:pos="9350" w:leader="dot"/>
            </w:tabs>
            <w:rPr>
              <w:rFonts w:eastAsia="" w:eastAsiaTheme="minorEastAsia"/>
              <w:b w:val="false"/>
              <w:sz w:val="24"/>
              <w:szCs w:val="24"/>
            </w:rPr>
          </w:pPr>
          <w:r>
            <w:rPr/>
            <w:t>3.  AREAS IN WHICH CONFLICT MAY ARISE</w:t>
            <w:tab/>
            <w:t>33</w:t>
          </w:r>
        </w:p>
        <w:p>
          <w:pPr>
            <w:pStyle w:val="Contents2"/>
            <w:tabs>
              <w:tab w:val="clear" w:pos="720"/>
              <w:tab w:val="right" w:pos="9350" w:leader="dot"/>
            </w:tabs>
            <w:rPr>
              <w:rFonts w:eastAsia="" w:eastAsiaTheme="minorEastAsia"/>
              <w:b w:val="false"/>
              <w:sz w:val="24"/>
              <w:szCs w:val="24"/>
            </w:rPr>
          </w:pPr>
          <w:r>
            <w:rPr/>
            <w:t>4.  NATURE OF CONFLICTING INTEREST</w:t>
            <w:tab/>
            <w:t>33</w:t>
          </w:r>
        </w:p>
        <w:p>
          <w:pPr>
            <w:pStyle w:val="Contents2"/>
            <w:tabs>
              <w:tab w:val="clear" w:pos="720"/>
              <w:tab w:val="right" w:pos="9350" w:leader="dot"/>
            </w:tabs>
            <w:rPr>
              <w:rFonts w:eastAsia="" w:eastAsiaTheme="minorEastAsia"/>
              <w:b w:val="false"/>
              <w:sz w:val="24"/>
              <w:szCs w:val="24"/>
            </w:rPr>
          </w:pPr>
          <w:r>
            <w:rPr/>
            <w:t>5.  INDIRECT INTERESTS</w:t>
            <w:tab/>
            <w:t>34</w:t>
          </w:r>
        </w:p>
        <w:p>
          <w:pPr>
            <w:pStyle w:val="Contents2"/>
            <w:tabs>
              <w:tab w:val="clear" w:pos="720"/>
              <w:tab w:val="right" w:pos="9350" w:leader="dot"/>
            </w:tabs>
            <w:rPr>
              <w:rFonts w:eastAsia="" w:eastAsiaTheme="minorEastAsia"/>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sz w:val="24"/>
              <w:szCs w:val="24"/>
            </w:rPr>
          </w:pPr>
          <w:r>
            <w:rPr/>
            <w:t>NEPOTISM POLICY</w:t>
            <w:tab/>
            <w:t>35</w:t>
          </w:r>
        </w:p>
        <w:p>
          <w:pPr>
            <w:pStyle w:val="Contents1"/>
            <w:tabs>
              <w:tab w:val="clear" w:pos="720"/>
              <w:tab w:val="right" w:pos="9350" w:leader="dot"/>
            </w:tabs>
            <w:rPr>
              <w:rFonts w:eastAsia="" w:eastAsiaTheme="minorEastAsia"/>
              <w:b w:val="false"/>
            </w:rPr>
          </w:pPr>
          <w:r>
            <w:rPr/>
            <w:t>THE 12 TRADITIONS OF NARCOTICS ANONYMOUS</w:t>
            <w:tab/>
            <w:t>37</w:t>
          </w:r>
        </w:p>
        <w:p>
          <w:pPr>
            <w:pStyle w:val="Contents1"/>
            <w:tabs>
              <w:tab w:val="clear" w:pos="720"/>
              <w:tab w:val="right" w:pos="9350" w:leader="dot"/>
            </w:tabs>
            <w:rPr>
              <w:rFonts w:eastAsia="" w:eastAsiaTheme="minorEastAsia"/>
              <w:b w:val="false"/>
            </w:rPr>
          </w:pPr>
          <w:r>
            <w:rPr/>
            <w:t>FIRST TWO PARAGRAPHS OF TRADITION TWO</w:t>
            <w:tab/>
            <w:t>38</w:t>
          </w:r>
        </w:p>
        <w:p>
          <w:pPr>
            <w:pStyle w:val="Contents1"/>
            <w:tabs>
              <w:tab w:val="clear" w:pos="720"/>
              <w:tab w:val="right" w:pos="9350" w:leader="dot"/>
            </w:tabs>
            <w:rPr>
              <w:rFonts w:eastAsia="" w:eastAsiaTheme="minorEastAsia"/>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 xml:space="preserve">WHAT </w:t>
      </w:r>
      <w:bookmarkEnd w:id="0"/>
      <w:r>
        <w:rPr>
          <w:color w:val="365F91" w:themeColor="accent1" w:themeShade="bf"/>
        </w:rPr>
        <w:t>IS SERVICE?</w:t>
      </w:r>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group member 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facility.  Through the members of those groups, they are given phone numbers, find a sponsor, and continue to stay clean through those members’ support.  As their recovery progresses, they remember where they came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others in recovery have made a service effort to help us stay clean.  The NA program is a set of principles as laid out by the Steps, Traditions, and Concepts.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newcomers provides an increase of support for our service efforts.  Service alone will not keep us clean, although it does enhance our recovery and personal growth.  Most importantly, if there are no service efforts, none of us would be here.  </w:t>
      </w:r>
    </w:p>
    <w:p>
      <w:pPr>
        <w:pStyle w:val="Heading1"/>
        <w:jc w:val="left"/>
        <w:rPr/>
      </w:pPr>
      <w:r>
        <w:rPr/>
        <w:t xml:space="preserve">EXPECTATIONS </w:t>
      </w:r>
      <w:bookmarkStart w:id="6" w:name="_Toc427840237"/>
      <w:r>
        <w:rPr/>
        <w:t>TRUSTED SERVANTS</w:t>
      </w:r>
      <w:bookmarkEnd w:id="6"/>
    </w:p>
    <w:p>
      <w:pPr>
        <w:pStyle w:val="Normal"/>
        <w:rPr/>
      </w:pPr>
      <w:r>
        <w:rPr/>
      </w:r>
    </w:p>
    <w:p>
      <w:pPr>
        <w:pStyle w:val="ListParagraph"/>
        <w:numPr>
          <w:ilvl w:val="0"/>
          <w:numId w:val="1"/>
        </w:numPr>
        <w:rPr/>
      </w:pPr>
      <w:r>
        <w:rPr/>
        <w:t xml:space="preserve">All trusted servants should study the Serenity Area Policy and learn how to apply the Twelve Traditions and Twelve Concepts of NA.  Studying these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us and gives everyone a chance to get to know each other.  It also enhances recovery.   </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We are striving for each person to have only one position at a time so the fellowship will will run more effectively.  When we have a few people trying to do everything, the fellowship is slowed down and we are not as productive.</w:t>
      </w:r>
    </w:p>
    <w:p>
      <w:pPr>
        <w:pStyle w:val="ListParagraph"/>
        <w:numPr>
          <w:ilvl w:val="0"/>
          <w:numId w:val="1"/>
        </w:numPr>
        <w:rPr/>
      </w:pPr>
      <w:r>
        <w:rPr/>
        <w:t xml:space="preserve">If there are not enough qualified trusted servants willing to serve, it may be necessary for one person to hold more than one position. </w:t>
      </w:r>
    </w:p>
    <w:p>
      <w:pPr>
        <w:pStyle w:val="Heading1"/>
        <w:jc w:val="left"/>
        <w:rPr/>
      </w:pPr>
      <w:bookmarkStart w:id="7" w:name="_Toc427840238"/>
      <w:r>
        <w:rPr/>
        <w:t>AREA SERVICE STRUCTURE</w:t>
      </w:r>
      <w:bookmarkEnd w:id="7"/>
    </w:p>
    <w:p>
      <w:pPr>
        <w:pStyle w:val="Heading1"/>
        <w:jc w:val="left"/>
        <w:rPr/>
      </w:pPr>
      <w:bookmarkStart w:id="8" w:name="_Toc427840240"/>
      <w:bookmarkStart w:id="9" w:name="_Toc427840239"/>
      <w:bookmarkEnd w:id="9"/>
      <w:r>
        <w:rPr/>
        <w:t>PURPOSE:</w:t>
      </w:r>
      <w:bookmarkEnd w:id="8"/>
    </w:p>
    <w:p>
      <w:pPr>
        <w:pStyle w:val="Normal"/>
        <w:ind w:firstLine="720"/>
        <w:rPr/>
      </w:pPr>
      <w:r>
        <w:rPr>
          <w:b w:val="false"/>
          <w:bCs w:val="false"/>
        </w:rPr>
        <w:t xml:space="preserve">According to Tradition Nine, </w:t>
      </w:r>
      <w:r>
        <w:rPr>
          <w:b/>
        </w:rPr>
        <w:t>“We ought never be organized, but we may create service boards or committees directly responsible to those they serve.”</w:t>
      </w:r>
      <w:r>
        <w:rPr>
          <w:b w:val="false"/>
          <w:bCs w:val="false"/>
        </w:rPr>
        <w:t xml:space="preserve"> SASCNA </w:t>
      </w:r>
      <w:r>
        <w:rPr/>
        <w:t xml:space="preserve">is a not-for-profit organization governed by group service representatives of each group in the Serenity Area.  </w:t>
      </w:r>
    </w:p>
    <w:p>
      <w:pPr>
        <w:pStyle w:val="Normal"/>
        <w:ind w:firstLine="720"/>
        <w:rPr/>
      </w:pPr>
      <w:r>
        <w:rPr/>
        <w:t>The purpose of an AREA SERVICE COMMITTEE is to be supportive of its groups. Their primary purpose is to link them together within their Area, help with their basic situations and needs, and to encourage the growth of the fellowship. Together we can do what we can’t do alone.</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rPr>
      </w:pPr>
      <w:r>
        <w:rPr>
          <w:b/>
        </w:rPr>
        <w:t xml:space="preserve">An individual must be a part of a home group that is directly affiliated with the Serenity Area of Narcotics Anonymous in order to hold a position at a Area level.  </w:t>
      </w:r>
    </w:p>
    <w:p>
      <w:pPr>
        <w:pStyle w:val="Normal"/>
        <w:rPr/>
      </w:pPr>
      <w:r>
        <w:rPr/>
      </w:r>
    </w:p>
    <w:p>
      <w:pPr>
        <w:pStyle w:val="Heading2"/>
        <w:rPr/>
      </w:pPr>
      <w:bookmarkStart w:id="12" w:name="_Toc427840244"/>
      <w:r>
        <w:rPr/>
        <w:t>TO DROP A GROUP:</w:t>
      </w:r>
      <w:bookmarkEnd w:id="12"/>
    </w:p>
    <w:p>
      <w:pPr>
        <w:pStyle w:val="Normal"/>
        <w:rPr/>
      </w:pPr>
      <w:r>
        <w:rPr/>
        <w:tab/>
        <w:t xml:space="preserve">Any group which is not represented at two consecutive ASC meetings will be contacted by an officer of the ASC (Area Chairperson or Vice-Chairperson) within seven (7) days of the second missed meeting and notify them that their voting rights have been suspended pending attendance at two consecutive Area Service Committee meetings.  </w:t>
      </w:r>
    </w:p>
    <w:p>
      <w:pPr>
        <w:pStyle w:val="Normal"/>
        <w:rPr/>
      </w:pPr>
      <w:r>
        <w:rPr/>
      </w:r>
    </w:p>
    <w:p>
      <w:pPr>
        <w:pStyle w:val="Heading2"/>
        <w:rPr/>
      </w:pPr>
      <w:bookmarkStart w:id="13" w:name="_Toc427840245"/>
      <w:r>
        <w:rPr/>
        <w:t>AREA SERVICE COMMITTEE MEETINGS:</w:t>
      </w:r>
      <w:bookmarkStart w:id="14" w:name="_Toc427840246"/>
      <w:bookmarkEnd w:id="13"/>
      <w:bookmarkEnd w:id="14"/>
    </w:p>
    <w:p>
      <w:pPr>
        <w:pStyle w:val="Heading1"/>
        <w:jc w:val="left"/>
        <w:rPr/>
      </w:pPr>
      <w:bookmarkStart w:id="15" w:name="_Toc427840247"/>
      <w:r>
        <w:rPr/>
        <w:t>FORMAT OF AN AREA SERVICE COMMITTEE MEETING</w:t>
      </w:r>
      <w:bookmarkEnd w:id="15"/>
    </w:p>
    <w:p>
      <w:pPr>
        <w:pStyle w:val="Normal"/>
        <w:ind w:left="720" w:hanging="720"/>
        <w:rPr/>
      </w:pPr>
      <w:r>
        <w:rPr/>
      </w:r>
    </w:p>
    <w:p>
      <w:pPr>
        <w:pStyle w:val="Normal"/>
        <w:ind w:left="720" w:hanging="720"/>
        <w:rPr/>
      </w:pPr>
      <w:r>
        <w:rPr/>
        <w:t>1.</w:t>
        <w:tab/>
        <w:t>Opening Prayer</w:t>
      </w:r>
    </w:p>
    <w:p>
      <w:pPr>
        <w:pStyle w:val="Normal"/>
        <w:ind w:left="720" w:hanging="720"/>
        <w:rPr/>
      </w:pPr>
      <w:r>
        <w:rPr/>
        <w:t>2.</w:t>
        <w:tab/>
        <w:t>Read the Twelve Traditions and the first two paragraphs of Tradition Two</w:t>
      </w:r>
    </w:p>
    <w:p>
      <w:pPr>
        <w:pStyle w:val="Normal"/>
        <w:ind w:left="720" w:hanging="720"/>
        <w:rPr/>
      </w:pPr>
      <w:r>
        <w:rPr/>
        <w:t>3.</w:t>
        <w:tab/>
        <w:t>Read the Twelve Concepts</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Written report to be turned in to the ASC Secretary.</w:t>
      </w:r>
    </w:p>
    <w:p>
      <w:pPr>
        <w:pStyle w:val="Normal"/>
        <w:ind w:left="720" w:hanging="720"/>
        <w:rPr/>
      </w:pPr>
      <w:r>
        <w:rPr/>
        <w:t>9.</w:t>
        <w:tab/>
        <w:t xml:space="preserve">Post Office Box Report </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5 minutes.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w:t>
      </w:r>
    </w:p>
    <w:p>
      <w:pPr>
        <w:pStyle w:val="Normal"/>
        <w:ind w:left="720" w:hanging="720"/>
        <w:rPr/>
      </w:pPr>
      <w:r>
        <w:rPr/>
        <w:t>16.</w:t>
        <w:tab/>
        <w:t>Old Business:  Tabled motions from previous months.</w:t>
      </w:r>
    </w:p>
    <w:p>
      <w:pPr>
        <w:pStyle w:val="Normal"/>
        <w:ind w:left="720" w:hanging="720"/>
        <w:rPr/>
      </w:pPr>
      <w:r>
        <w:rPr/>
        <w:t>17.</w:t>
        <w:tab/>
        <w:t>Election of Officers:  if necessary.</w:t>
      </w:r>
    </w:p>
    <w:p>
      <w:pPr>
        <w:pStyle w:val="Normal"/>
        <w:ind w:left="720" w:hanging="720"/>
        <w:rPr/>
      </w:pPr>
      <w:r>
        <w:rPr/>
        <w:t>18.</w:t>
        <w:tab/>
        <w:t>Recess for 5 minutes.  Motion must be made and majority vote to not take recess.</w:t>
      </w:r>
    </w:p>
    <w:p>
      <w:pPr>
        <w:pStyle w:val="Normal"/>
        <w:ind w:left="720" w:hanging="720"/>
        <w:rPr/>
      </w:pPr>
      <w:r>
        <w:rPr/>
        <w:t>19.</w:t>
        <w:tab/>
        <w:t>Reconvene with a moment of silence followed by the “we” version of the serenity Prayer</w:t>
      </w:r>
    </w:p>
    <w:p>
      <w:pPr>
        <w:pStyle w:val="Normal"/>
        <w:ind w:left="720" w:hanging="720"/>
        <w:rPr/>
      </w:pPr>
      <w:r>
        <w:rPr/>
        <w:t>20.</w:t>
        <w:tab/>
        <w:t>New Business:  Pre-arranged agenda</w:t>
      </w:r>
    </w:p>
    <w:p>
      <w:pPr>
        <w:pStyle w:val="Normal"/>
        <w:ind w:left="720" w:hanging="720"/>
        <w:rPr/>
      </w:pPr>
      <w:r>
        <w:rPr/>
        <w:t>21.</w:t>
        <w:tab/>
        <w:t>Announcements</w:t>
      </w:r>
    </w:p>
    <w:p>
      <w:pPr>
        <w:pStyle w:val="Normal"/>
        <w:ind w:left="720" w:hanging="720"/>
        <w:rPr/>
      </w:pPr>
      <w:r>
        <w:rPr/>
        <w:t>22.</w:t>
        <w:tab/>
        <w:t>Treasurer’s closing financial report</w:t>
      </w:r>
    </w:p>
    <w:p>
      <w:pPr>
        <w:pStyle w:val="Normal"/>
        <w:ind w:left="720" w:hanging="720"/>
        <w:rPr/>
      </w:pPr>
      <w:r>
        <w:rPr/>
        <w:t xml:space="preserve">23. </w:t>
        <w:tab/>
        <w:t>Review of information to be taken back to groups</w:t>
      </w:r>
    </w:p>
    <w:p>
      <w:pPr>
        <w:pStyle w:val="Normal"/>
        <w:ind w:left="720" w:hanging="720"/>
        <w:rPr/>
      </w:pPr>
      <w:r>
        <w:rPr/>
        <w:t>24.</w:t>
        <w:tab/>
        <w:t>The next meeting time and location is set at the end of each meeting</w:t>
      </w:r>
    </w:p>
    <w:p>
      <w:pPr>
        <w:pStyle w:val="Normal"/>
        <w:ind w:left="720" w:hanging="720"/>
        <w:rPr/>
      </w:pPr>
      <w:r>
        <w:rPr/>
        <w:t>25.</w:t>
        <w:tab/>
        <w:t>Closing Prayer</w:t>
      </w:r>
    </w:p>
    <w:p>
      <w:pPr>
        <w:pStyle w:val="Normal"/>
        <w:ind w:left="720" w:hanging="720"/>
        <w:jc w:val="center"/>
        <w:rPr>
          <w:b/>
        </w:rPr>
      </w:pPr>
      <w:r>
        <w:rPr>
          <w:b/>
        </w:rPr>
        <w:t>***CLEAN UP – ALL PARTICIPATING MEMBERS OF ASC***</w:t>
      </w:r>
    </w:p>
    <w:p>
      <w:pPr>
        <w:pStyle w:val="Heading2"/>
        <w:rPr/>
      </w:pPr>
      <w:r>
        <w:rPr/>
      </w:r>
    </w:p>
    <w:p>
      <w:pPr>
        <w:pStyle w:val="Heading2"/>
        <w:rPr/>
      </w:pPr>
      <w:bookmarkStart w:id="16" w:name="_Toc427840248"/>
      <w:r>
        <w:rPr/>
        <w:t>DISCUSSION LIMITS:</w:t>
      </w:r>
      <w:bookmarkEnd w:id="16"/>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the 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r>
        <w:rPr/>
      </w:r>
    </w:p>
    <w:p>
      <w:pPr>
        <w:pStyle w:val="Heading2"/>
        <w:rPr/>
      </w:pPr>
      <w:r>
        <w:rPr/>
      </w:r>
      <w:bookmarkStart w:id="17" w:name="_Toc427840249"/>
      <w:bookmarkStart w:id="18" w:name="_Toc427840249"/>
      <w:bookmarkEnd w:id="18"/>
    </w:p>
    <w:p>
      <w:pPr>
        <w:pStyle w:val="Normal"/>
        <w:ind w:hanging="0"/>
        <w:rPr/>
      </w:pPr>
      <w:r>
        <w:rPr/>
      </w:r>
    </w:p>
    <w:p>
      <w:pPr>
        <w:pStyle w:val="Normal"/>
        <w:ind w:hanging="0"/>
        <w:rPr/>
      </w:pPr>
      <w:r>
        <w:rPr/>
      </w:r>
    </w:p>
    <w:p>
      <w:pPr>
        <w:pStyle w:val="Heading2"/>
        <w:ind w:hanging="0"/>
        <w:rPr/>
      </w:pPr>
      <w:bookmarkStart w:id="19" w:name="_Toc4278402491"/>
      <w:r>
        <w:rPr/>
        <w:t>VOTING:</w:t>
      </w:r>
      <w:bookmarkEnd w:id="19"/>
    </w:p>
    <w:p>
      <w:pPr>
        <w:pStyle w:val="Normal"/>
        <w:ind w:hanging="0"/>
        <w:rPr/>
      </w:pPr>
      <w:r>
        <w:rPr/>
      </w:r>
    </w:p>
    <w:p>
      <w:pPr>
        <w:pStyle w:val="Normal"/>
        <w:ind w:hanging="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20" w:name="_Toc427840250"/>
      <w:r>
        <w:rPr/>
        <w:t>REPORTS:</w:t>
      </w:r>
      <w:bookmarkEnd w:id="20"/>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1" w:name="_Toc427840251"/>
      <w:r>
        <w:rPr/>
        <w:t>MOTIONS:</w:t>
      </w:r>
      <w:bookmarkEnd w:id="21"/>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2" w:name="_Toc427840252"/>
      <w:r>
        <w:rPr/>
        <w:t>ELECTION OF OFFICERS</w:t>
      </w:r>
      <w:bookmarkEnd w:id="22"/>
    </w:p>
    <w:p>
      <w:pPr>
        <w:pStyle w:val="Normal"/>
        <w:rPr/>
      </w:pPr>
      <w:r>
        <w:rPr/>
      </w:r>
    </w:p>
    <w:p>
      <w:pPr>
        <w:pStyle w:val="Heading2"/>
        <w:rPr/>
      </w:pPr>
      <w:bookmarkStart w:id="23" w:name="_Toc427840253"/>
      <w:r>
        <w:rPr/>
        <w:t>ELECTION OF NEW OFFICERS:</w:t>
      </w:r>
      <w:bookmarkEnd w:id="23"/>
    </w:p>
    <w:p>
      <w:pPr>
        <w:pStyle w:val="Normal"/>
        <w:ind w:firstLine="720"/>
        <w:rPr/>
      </w:pPr>
      <w:r>
        <w:rPr/>
        <w:t>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  An exception to this rule may be that Administrative officers may represent their home groups if they do not have a GSR available.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rPr>
      </w:pPr>
      <w:r>
        <w:rPr>
          <w:b/>
        </w:rPr>
        <w:t>Annual Elections:</w:t>
      </w:r>
    </w:p>
    <w:p>
      <w:pPr>
        <w:pStyle w:val="Normal"/>
        <w:rPr>
          <w:b/>
        </w:rPr>
      </w:pPr>
      <w:r>
        <w:rPr>
          <w:b/>
        </w:rPr>
        <w:t>Nominations for ASC positions are opened in May.</w:t>
      </w:r>
    </w:p>
    <w:p>
      <w:pPr>
        <w:pStyle w:val="Normal"/>
        <w:rPr>
          <w:b/>
        </w:rPr>
      </w:pPr>
      <w:r>
        <w:rPr>
          <w:b/>
        </w:rPr>
        <w:t>Groups should bring nominations to the JuneASC.</w:t>
      </w:r>
    </w:p>
    <w:p>
      <w:pPr>
        <w:pStyle w:val="Normal"/>
        <w:rPr>
          <w:b/>
        </w:rPr>
      </w:pPr>
      <w:r>
        <w:rPr>
          <w:b/>
        </w:rPr>
        <w:t>Nominations are then closed at the end of ASC in June.</w:t>
      </w:r>
    </w:p>
    <w:p>
      <w:pPr>
        <w:pStyle w:val="Normal"/>
        <w:rPr>
          <w:b/>
        </w:rPr>
      </w:pPr>
      <w:r>
        <w:rPr>
          <w:b/>
        </w:rPr>
        <w:t>Groups should bring their vote for each position to the JulyASC.</w:t>
      </w:r>
    </w:p>
    <w:p>
      <w:pPr>
        <w:pStyle w:val="Normal"/>
        <w:rPr>
          <w:b/>
        </w:rPr>
      </w:pPr>
      <w:r>
        <w:rPr>
          <w:b/>
        </w:rPr>
        <w:t xml:space="preserve">Newly elected officers and chairs will take office at August ASC. </w:t>
      </w:r>
    </w:p>
    <w:p>
      <w:pPr>
        <w:pStyle w:val="Normal"/>
        <w:rPr>
          <w:b/>
        </w:rPr>
      </w:pPr>
      <w:r>
        <w:rPr>
          <w:b/>
        </w:rPr>
      </w:r>
    </w:p>
    <w:p>
      <w:pPr>
        <w:pStyle w:val="Normal"/>
        <w:rPr>
          <w:b/>
        </w:rPr>
      </w:pPr>
      <w:r>
        <w:rPr>
          <w:b/>
        </w:rPr>
        <w:t xml:space="preserve">Two exceptions:  The Vice-Chair automatically assumes the Chair as per ASC Policy.  The Alternate ASR automatically takes over as ASR as per ASC Policy.  </w:t>
      </w:r>
    </w:p>
    <w:p>
      <w:pPr>
        <w:pStyle w:val="Normal"/>
        <w:rPr>
          <w:b/>
        </w:rPr>
      </w:pPr>
      <w:r>
        <w:rPr>
          <w:b/>
        </w:rPr>
      </w:r>
    </w:p>
    <w:p>
      <w:pPr>
        <w:pStyle w:val="Normal"/>
        <w:ind w:left="720" w:hanging="720"/>
        <w:rPr>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 xml:space="preserve">No one person should hold more than one subcommittee chair position or administrative position at the same time (except for Vice Chair of Area) but can represent a group and vote for said group except for administrative committee. In the event of a Subcommittee vacancy duties should be split between all Subcommittee chairpersons.  </w:t>
      </w:r>
    </w:p>
    <w:p>
      <w:pPr>
        <w:pStyle w:val="Normal"/>
        <w:ind w:left="720" w:hanging="720"/>
        <w:rPr/>
      </w:pPr>
      <w:r>
        <w:rPr/>
        <w:t>3.</w:t>
        <w:tab/>
        <w:t xml:space="preserve">All nominees must be present at June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A written statement of willingness and qualifications can be accepted in place of attendance at the June 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June’s must have a second.  This motion must pass.  </w:t>
      </w:r>
      <w:r>
        <w:rPr>
          <w:b/>
        </w:rPr>
        <w:t>GSR’s should take all nominations back to their Groups for consideration after June ASC</w:t>
      </w:r>
      <w:r>
        <w:rPr/>
        <w:t xml:space="preserve">. </w:t>
      </w:r>
    </w:p>
    <w:p>
      <w:pPr>
        <w:pStyle w:val="Normal"/>
        <w:ind w:left="720" w:hanging="720"/>
        <w:rPr/>
      </w:pPr>
      <w:r>
        <w:rPr/>
        <w:t>6.</w:t>
        <w:tab/>
      </w:r>
      <w:r>
        <w:rPr>
          <w:b/>
        </w:rPr>
        <w:t>All nominations are to be voted on at the July ASC by the GSR’s or their Alternates.</w:t>
      </w:r>
      <w:r>
        <w:rPr/>
        <w:t xml:space="preserve">  </w:t>
      </w:r>
    </w:p>
    <w:p>
      <w:pPr>
        <w:pStyle w:val="Normal"/>
        <w:ind w:left="720" w:hanging="720"/>
        <w:rPr/>
      </w:pPr>
      <w:r>
        <w:rPr/>
        <w:t>7.</w:t>
        <w:tab/>
      </w:r>
      <w:r>
        <w:rPr>
          <w:b/>
        </w:rPr>
        <w:t>Terms begin at August ASC.</w:t>
      </w:r>
      <w:r>
        <w:rPr/>
        <w:t xml:space="preserve"> </w:t>
      </w:r>
    </w:p>
    <w:p>
      <w:pPr>
        <w:pStyle w:val="Normal"/>
        <w:ind w:left="720" w:hanging="720"/>
        <w:rPr/>
      </w:pPr>
      <w:r>
        <w:rPr/>
      </w:r>
    </w:p>
    <w:p>
      <w:pPr>
        <w:pStyle w:val="Normal"/>
        <w:ind w:left="1440" w:hanging="720"/>
        <w:rPr/>
      </w:pPr>
      <w:r>
        <w:rPr/>
      </w:r>
    </w:p>
    <w:p>
      <w:pPr>
        <w:pStyle w:val="Heading2"/>
        <w:rPr/>
      </w:pPr>
      <w:bookmarkStart w:id="24" w:name="_Toc427840254"/>
      <w:r>
        <w:rPr/>
        <w:t>ELECTION OF VACATED OFFICES:</w:t>
      </w:r>
      <w:bookmarkEnd w:id="24"/>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5" w:name="_Toc427840255"/>
      <w:r>
        <w:rPr/>
        <w:t>RESIGNATIONS AND IMPEACHMENTS</w:t>
      </w:r>
      <w:bookmarkEnd w:id="25"/>
    </w:p>
    <w:p>
      <w:pPr>
        <w:pStyle w:val="Normal"/>
        <w:rPr>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6" w:name="_Toc427840256"/>
      <w:r>
        <w:rPr/>
        <w:t>VOLUNTARY RESIGNATION:</w:t>
      </w:r>
      <w:bookmarkEnd w:id="26"/>
    </w:p>
    <w:p>
      <w:pPr>
        <w:pStyle w:val="Normal"/>
        <w:rPr/>
      </w:pPr>
      <w:r>
        <w:rPr/>
        <w:t>1.</w:t>
        <w:tab/>
        <w:t>Given in writing to the ASC Chairperson prior to the next ASC.</w:t>
      </w:r>
    </w:p>
    <w:p>
      <w:pPr>
        <w:pStyle w:val="Normal"/>
        <w:rPr/>
      </w:pPr>
      <w:r>
        <w:rPr/>
      </w:r>
    </w:p>
    <w:p>
      <w:pPr>
        <w:pStyle w:val="Heading2"/>
        <w:rPr/>
      </w:pPr>
      <w:bookmarkStart w:id="27" w:name="_Toc427840257"/>
      <w:r>
        <w:rPr/>
        <w:t>INVOLUNTARY RESIGNATION:</w:t>
      </w:r>
      <w:bookmarkEnd w:id="27"/>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8" w:name="_Toc427840258"/>
      <w:r>
        <w:rPr/>
        <w:t>IMPEACHMENT:</w:t>
      </w:r>
      <w:bookmarkEnd w:id="28"/>
    </w:p>
    <w:p>
      <w:pPr>
        <w:pStyle w:val="Normal"/>
        <w:rPr/>
      </w:pPr>
      <w:r>
        <w:rPr/>
        <w:t>1.</w:t>
        <w:tab/>
        <w:t>This is needed in case of breach of Traditions.</w:t>
      </w:r>
    </w:p>
    <w:p>
      <w:pPr>
        <w:pStyle w:val="Normal"/>
        <w:rPr/>
      </w:pPr>
      <w:r>
        <w:rPr/>
        <w:t>2.</w:t>
        <w:tab/>
        <w:t xml:space="preserve">The individual will be given this in writing at least seven (7) days prior to the ASC                     meeting.  </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9" w:name="_Toc427840259"/>
      <w:r>
        <w:rPr/>
        <w:t>SPECIAL VOTE OF THE AREA SERVICE COMMITTEE</w:t>
      </w:r>
      <w:bookmarkEnd w:id="29"/>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30" w:name="_Toc427840260"/>
      <w:r>
        <w:rPr/>
        <w:t>ASC ADMINISTRATIVE COMMITTEE</w:t>
      </w:r>
      <w:bookmarkEnd w:id="30"/>
    </w:p>
    <w:p>
      <w:pPr>
        <w:pStyle w:val="Normal"/>
        <w:rPr/>
      </w:pPr>
      <w:r>
        <w:rPr/>
      </w:r>
    </w:p>
    <w:p>
      <w:pPr>
        <w:pStyle w:val="Heading2"/>
        <w:rPr/>
      </w:pPr>
      <w:bookmarkStart w:id="31" w:name="_Toc427840261"/>
      <w:r>
        <w:rPr/>
        <w:t>CHAIRPERSON:</w:t>
      </w:r>
      <w:bookmarkEnd w:id="31"/>
    </w:p>
    <w:p>
      <w:pPr>
        <w:pStyle w:val="Normal"/>
        <w:rPr/>
      </w:pPr>
      <w:r>
        <w:rPr/>
        <w:tab/>
        <w:t xml:space="preserve">A Chairperson presides over the monthly meetings.  The Chairperson is one of the co-signers of the Serenity Area Service Committee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2" w:name="_Toc427840262"/>
      <w:r>
        <w:rPr/>
        <w:t>Qualifications:</w:t>
      </w:r>
      <w:bookmarkEnd w:id="32"/>
    </w:p>
    <w:p>
      <w:pPr>
        <w:pStyle w:val="Normal"/>
        <w:rPr/>
      </w:pPr>
      <w:r>
        <w:rPr/>
        <w:t>1.</w:t>
        <w:tab/>
        <w:t>Willingness and desire to serve</w:t>
      </w:r>
    </w:p>
    <w:p>
      <w:pPr>
        <w:pStyle w:val="Normal"/>
        <w:rPr/>
      </w:pPr>
      <w:r>
        <w:rPr/>
        <w:t>2.</w:t>
        <w:tab/>
        <w:t xml:space="preserve">One (1) year commitment </w:t>
      </w:r>
    </w:p>
    <w:p>
      <w:pPr>
        <w:pStyle w:val="Normal"/>
        <w:rPr/>
      </w:pPr>
      <w:r>
        <w:rPr/>
        <w:t>3.</w:t>
        <w:tab/>
        <w:t>Minimum of (12)months NA service involvement</w:t>
      </w:r>
    </w:p>
    <w:p>
      <w:pPr>
        <w:pStyle w:val="Normal"/>
        <w:rPr/>
      </w:pPr>
      <w:r>
        <w:rPr/>
        <w:t>4.</w:t>
        <w:tab/>
        <w:t>Minimum of three (3)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ListParagraph"/>
        <w:rPr/>
      </w:pPr>
      <w:r>
        <w:rPr/>
        <w:t xml:space="preserve">WHEN PROBLEMS WITH THE ATMOSPHERE OF RECOVERY OCCUR, IT IS THE RESPONSIBILITY OF THE TRUSTED SERVANTS AND/OR THE CHAIRPERSON TO TAKE CARE OF THE PROBLEM. </w:t>
      </w:r>
    </w:p>
    <w:p>
      <w:pPr>
        <w:pStyle w:val="Heading2"/>
        <w:rPr/>
      </w:pPr>
      <w:bookmarkStart w:id="33" w:name="_Toc427840263"/>
      <w:r>
        <w:rPr/>
        <w:t>VICE-CHAIRPERSON:</w:t>
      </w:r>
      <w:bookmarkEnd w:id="33"/>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w:t>
      </w:r>
    </w:p>
    <w:p>
      <w:pPr>
        <w:pStyle w:val="Normal"/>
        <w:rPr/>
      </w:pPr>
      <w:r>
        <w:rPr/>
      </w:r>
    </w:p>
    <w:p>
      <w:pPr>
        <w:pStyle w:val="Heading3"/>
        <w:rPr/>
      </w:pPr>
      <w:bookmarkStart w:id="34" w:name="_Toc427840264"/>
      <w:r>
        <w:rPr/>
        <w:t>Qualifications:</w:t>
      </w:r>
      <w:bookmarkEnd w:id="34"/>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5" w:name="_Toc427840265"/>
      <w:r>
        <w:rPr/>
        <w:t>SECRETARY:</w:t>
      </w:r>
      <w:bookmarkEnd w:id="35"/>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6" w:name="_Toc427840266"/>
      <w:r>
        <w:rPr/>
        <w:t>Qualifications:</w:t>
      </w:r>
      <w:bookmarkEnd w:id="36"/>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7" w:name="_Toc427840267"/>
      <w:r>
        <w:rPr/>
        <w:t>TREASURER:</w:t>
      </w:r>
      <w:bookmarkEnd w:id="37"/>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website,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availability to receive money from Area functions.  There are no counter or bank checks, only printed checks with SASCNA printed on them.</w:t>
      </w:r>
    </w:p>
    <w:p>
      <w:pPr>
        <w:pStyle w:val="ListParagraph"/>
        <w:numPr>
          <w:ilvl w:val="0"/>
          <w:numId w:val="3"/>
        </w:numPr>
        <w:rPr/>
      </w:pPr>
      <w:r>
        <w:rPr/>
        <w:t>These three authorized persons are:  the Area Chair, the Area Vice-Chairperson, and the Treasurer.</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shall annually file with the IRS and Secretary of State. Will be added as a registered agent with the secretary of state.</w:t>
      </w:r>
    </w:p>
    <w:p>
      <w:pPr>
        <w:pStyle w:val="ListParagraph"/>
        <w:numPr>
          <w:ilvl w:val="0"/>
          <w:numId w:val="3"/>
        </w:numPr>
        <w:rPr/>
      </w:pPr>
      <w:r>
        <w:rPr/>
        <w:t xml:space="preserve">Treasurer will also keep record of signers of the bank account as well as the process of changing signatures. </w:t>
      </w:r>
    </w:p>
    <w:p>
      <w:pPr>
        <w:pStyle w:val="ListParagraph"/>
        <w:numPr>
          <w:ilvl w:val="0"/>
          <w:numId w:val="3"/>
        </w:numPr>
        <w:rPr/>
      </w:pPr>
      <w:r>
        <w:rPr/>
        <w:t>Treasurer will also make sure signatures are changed when there is an election, resignation, or impeachment of a signing officer.</w:t>
      </w:r>
    </w:p>
    <w:p>
      <w:pPr>
        <w:pStyle w:val="ListParagraph"/>
        <w:numPr>
          <w:ilvl w:val="0"/>
          <w:numId w:val="3"/>
        </w:numPr>
        <w:rPr/>
      </w:pPr>
      <w:r>
        <w:rPr/>
        <w:t xml:space="preserve">In the absence of a Literature Chair person, the Treasurer shall perform the duties of the Literature chair. In the absence of a Literature subcommittee the treasurer shall order literature as directed by ASC. </w:t>
      </w:r>
    </w:p>
    <w:p>
      <w:pPr>
        <w:pStyle w:val="Normal"/>
        <w:rPr/>
      </w:pPr>
      <w:r>
        <w:rPr/>
      </w:r>
    </w:p>
    <w:p>
      <w:pPr>
        <w:pStyle w:val="Heading3"/>
        <w:rPr/>
      </w:pPr>
      <w:bookmarkStart w:id="38" w:name="_Toc427840268"/>
      <w:r>
        <w:rPr/>
        <w:t>Qualifications:</w:t>
      </w:r>
      <w:bookmarkEnd w:id="38"/>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9" w:name="_Toc427840269"/>
      <w:r>
        <w:rPr/>
        <w:t>FINANCIAL GUIDELINES</w:t>
      </w:r>
      <w:bookmarkEnd w:id="39"/>
    </w:p>
    <w:p>
      <w:pPr>
        <w:pStyle w:val="Normal"/>
        <w:rPr/>
      </w:pPr>
      <w:r>
        <w:rPr/>
      </w:r>
    </w:p>
    <w:p>
      <w:pPr>
        <w:pStyle w:val="Normal"/>
        <w:rPr/>
      </w:pPr>
      <w:r>
        <w:rPr/>
        <w:tab/>
        <w:t>Treasurer shall pay recurring business expenses (phone line, website,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FD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$150.00.  The Activities Chairperson shall provide a financial report to the ASC (with receipts) after each activity.  Proceeds from Activity Functions, if any, are to be turned over to the Area Treasurer at the next ASC meeting.  In the absence of the Area Treasurer, money can be turned over to the Area Chairperson or Vice-Chairperson.  </w:t>
      </w:r>
    </w:p>
    <w:p>
      <w:pPr>
        <w:pStyle w:val="Normal"/>
        <w:rPr/>
      </w:pPr>
      <w:r>
        <w:rPr/>
      </w:r>
    </w:p>
    <w:p>
      <w:pPr>
        <w:pStyle w:val="Heading2"/>
        <w:rPr/>
      </w:pPr>
      <w:bookmarkStart w:id="40" w:name="_Toc427840270"/>
      <w:r>
        <w:rPr/>
        <w:t>AREA SERVICE REPRESENTATIVE:</w:t>
      </w:r>
      <w:bookmarkEnd w:id="40"/>
    </w:p>
    <w:p>
      <w:pPr>
        <w:pStyle w:val="Normal"/>
        <w:rPr/>
      </w:pPr>
      <w:r>
        <w:rPr/>
        <w:tab/>
        <w:t xml:space="preserve">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An ASR must be able to work for the common good, placing principles before personalities.  The ASR should request funds for travel before the trip date, in writing, or may be reimbursed at the next ASC. ASR’s will be provided funds for no more than two night’s stay and gas money for travel.  If funds are not available, ASR is not required to attend RSC.  ASR travel funds to Region are budgeted up to $250 per RSC meeting.  Receipts shall be turned in for all travel expenses to ASC Treasurer with any remaining unused funds.  SASCNA grants the ASR the power to vote his/her conscience at RSC on motions not required to be sent back to Areas. </w:t>
      </w:r>
    </w:p>
    <w:p>
      <w:pPr>
        <w:pStyle w:val="Normal"/>
        <w:rPr/>
      </w:pPr>
      <w:r>
        <w:rPr/>
      </w:r>
    </w:p>
    <w:p>
      <w:pPr>
        <w:pStyle w:val="Heading3"/>
        <w:rPr/>
      </w:pPr>
      <w:bookmarkStart w:id="41" w:name="_Toc427840271"/>
      <w:r>
        <w:rPr/>
        <w:t>Qualifications:</w:t>
      </w:r>
      <w:bookmarkEnd w:id="41"/>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2" w:name="_Toc427840272"/>
      <w:r>
        <w:rPr/>
        <w:t>AREA SERVICE REPRESENTATIVE ALTERNATE:</w:t>
      </w:r>
      <w:bookmarkEnd w:id="42"/>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3" w:name="_Toc427840273"/>
      <w:r>
        <w:rPr/>
        <w:t>ABOUT SUB-COMMITTEES</w:t>
      </w:r>
      <w:bookmarkEnd w:id="43"/>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 xml:space="preserve">The services provided by an ASC take a deeper meaning to GSR’s serving on Sub-Committees.  This gives them a chance to see up close how a Subcommittee is going to serve addicts seeking recovery.  Subcommittees take meetings into institutions, set up and maintain phonelines and websites, issue newsletters, maintain literature stockpiles, host activities, deal with matter of policy, and anything the Subcommittee wants to see and is willing to support.  H&amp;I, FD,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feels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4" w:name="_Toc427840274"/>
      <w:r>
        <w:rPr/>
        <w:t>SUBCOMMITTEE OFFICER QUALIFICATIONS</w:t>
      </w:r>
      <w:bookmarkEnd w:id="44"/>
    </w:p>
    <w:p>
      <w:pPr>
        <w:pStyle w:val="Normal"/>
        <w:rPr/>
      </w:pPr>
      <w:r>
        <w:rPr/>
      </w:r>
    </w:p>
    <w:p>
      <w:pPr>
        <w:pStyle w:val="Heading2"/>
        <w:rPr/>
      </w:pPr>
      <w:bookmarkStart w:id="45" w:name="_Toc427840275"/>
      <w:r>
        <w:rPr/>
        <w:t>SUBCOMMITTEE CHAIRPERSON:</w:t>
      </w:r>
      <w:bookmarkEnd w:id="45"/>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10.</w:t>
        <w:tab/>
        <w:t xml:space="preserve">Ideally no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6" w:name="_Toc427840276"/>
      <w:r>
        <w:rPr/>
        <w:t>SUB-COMMITTEE OFFICER:</w:t>
      </w:r>
      <w:bookmarkEnd w:id="46"/>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7" w:name="_Toc427840277"/>
      <w:bookmarkEnd w:id="47"/>
      <w:r>
        <w:rPr/>
        <w:t>FELLOWSHIP DEVELOPMENT</w:t>
      </w:r>
    </w:p>
    <w:p>
      <w:pPr>
        <w:pStyle w:val="Normal"/>
        <w:rPr/>
      </w:pPr>
      <w:r>
        <w:rPr/>
      </w:r>
    </w:p>
    <w:p>
      <w:pPr>
        <w:pStyle w:val="Heading2"/>
        <w:rPr/>
      </w:pPr>
      <w:bookmarkStart w:id="48" w:name="_Toc427840278"/>
      <w:r>
        <w:rPr/>
        <w:t>PURPOSE:</w:t>
      </w:r>
      <w:bookmarkEnd w:id="48"/>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9" w:name="_Toc427840279"/>
      <w:r>
        <w:rPr/>
        <w:t>MEETINGS AND MEMBERSHIP:</w:t>
      </w:r>
      <w:bookmarkEnd w:id="49"/>
    </w:p>
    <w:p>
      <w:pPr>
        <w:pStyle w:val="Normal"/>
        <w:rPr/>
      </w:pPr>
      <w:r>
        <w:rPr/>
        <w:tab/>
        <w:t xml:space="preserve">The FD Subcommittee will meet once monthly.  Everyone is encouraged to attend the meeting.  The Chairperson is the only member not allowed to vote, unless a tie has occurred.  There must be a minimum of two (2) voting members for voting to occur.  </w:t>
      </w:r>
    </w:p>
    <w:p>
      <w:pPr>
        <w:pStyle w:val="Normal"/>
        <w:rPr/>
      </w:pPr>
      <w:r>
        <w:rPr/>
      </w:r>
    </w:p>
    <w:p>
      <w:pPr>
        <w:pStyle w:val="Heading2"/>
        <w:rPr/>
      </w:pPr>
      <w:bookmarkStart w:id="50" w:name="_Toc427840280"/>
      <w:r>
        <w:rPr/>
        <w:t>REQUIREMENTS AND DUTIES FOR OFFICERS:</w:t>
      </w:r>
      <w:bookmarkEnd w:id="50"/>
    </w:p>
    <w:p>
      <w:pPr>
        <w:pStyle w:val="Normal"/>
        <w:rPr/>
      </w:pPr>
      <w:r>
        <w:rPr/>
      </w:r>
    </w:p>
    <w:p>
      <w:pPr>
        <w:pStyle w:val="Heading3"/>
        <w:rPr/>
      </w:pPr>
      <w:bookmarkStart w:id="51" w:name="_Toc427840281"/>
      <w:r>
        <w:rPr/>
        <w:t>Chairperson:</w:t>
      </w:r>
      <w:bookmarkEnd w:id="51"/>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Coordinates communication with other Area Subcommittees.  It is suggested that the Chairperson attend at least every other RSCFD meeting.  FD must register with NA World Services to update NA.org.  FD is responsible for updating the meeting list on NA.org and/or the BMLT meeting database whichever is appropriate..</w:t>
      </w:r>
    </w:p>
    <w:p>
      <w:pPr>
        <w:pStyle w:val="Normal"/>
        <w:rPr/>
      </w:pPr>
      <w:r>
        <w:rPr/>
      </w:r>
    </w:p>
    <w:p>
      <w:pPr>
        <w:pStyle w:val="Heading3"/>
        <w:rPr/>
      </w:pPr>
      <w:bookmarkStart w:id="52" w:name="_Toc427840282"/>
      <w:r>
        <w:rPr/>
        <w:t>Vice-Chairperson:</w:t>
      </w:r>
      <w:bookmarkEnd w:id="52"/>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3" w:name="_Toc427840283"/>
      <w:r>
        <w:rPr/>
        <w:t>Website Chairperson:</w:t>
      </w:r>
      <w:bookmarkEnd w:id="53"/>
    </w:p>
    <w:p>
      <w:pPr>
        <w:pStyle w:val="Normal"/>
        <w:rPr/>
      </w:pPr>
      <w:r>
        <w:rPr/>
        <w:tab/>
        <w:t xml:space="preserve">Responsible for maintaining the Serenity Area website.  Works with the FD Subcommittee to ensure the presentation of the Serenity Area website in accordance with the Twelve Traditions of Narcotics Anonymous and Area Guidelines.  Suggested one (1) year clean.  Suggested one (1) year FD Subcommittee experience.  </w:t>
      </w:r>
    </w:p>
    <w:p>
      <w:pPr>
        <w:pStyle w:val="Normal"/>
        <w:rPr/>
      </w:pPr>
      <w:r>
        <w:rPr/>
      </w:r>
    </w:p>
    <w:p>
      <w:pPr>
        <w:pStyle w:val="Heading3"/>
        <w:rPr/>
      </w:pPr>
      <w:r>
        <w:rPr/>
        <w:t>FD</w:t>
      </w:r>
      <w:bookmarkStart w:id="54" w:name="_Toc427840284"/>
      <w:r>
        <w:rPr/>
        <w:t xml:space="preserve"> Secretary:</w:t>
      </w:r>
      <w:bookmarkEnd w:id="54"/>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5" w:name="_Toc427840285"/>
      <w:r>
        <w:rPr/>
        <w:t>RESPONSIBILITIES OF THE SUBCOMMITTEE:</w:t>
      </w:r>
      <w:bookmarkEnd w:id="55"/>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6" w:name="_Toc427840286"/>
      <w:r>
        <w:rPr/>
        <w:t>PUBLIC PRESENTATIONS:</w:t>
      </w:r>
      <w:bookmarkEnd w:id="56"/>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7" w:name="_Toc427840287"/>
      <w:r>
        <w:rPr/>
        <w:t>MEETING LISTS:</w:t>
      </w:r>
      <w:bookmarkEnd w:id="57"/>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8" w:name="_Toc427840288"/>
      <w:r>
        <w:rPr/>
        <w:t xml:space="preserve"> MAIL-OUTS:</w:t>
      </w:r>
      <w:bookmarkEnd w:id="58"/>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9" w:name="_Toc427840289"/>
      <w:r>
        <w:rPr/>
        <w:t>PHONE LINE POLICY</w:t>
      </w:r>
      <w:bookmarkEnd w:id="59"/>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FD Subcommittee will provide a list of all persons who have completed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FD Chairperson if problems arise. </w:t>
      </w:r>
    </w:p>
    <w:p>
      <w:pPr>
        <w:pStyle w:val="Normal"/>
        <w:rPr/>
      </w:pPr>
      <w:r>
        <w:rPr/>
      </w:r>
    </w:p>
    <w:p>
      <w:pPr>
        <w:pStyle w:val="Normal"/>
        <w:rPr/>
      </w:pPr>
      <w:r>
        <w:rPr/>
        <w:t>DONT’S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60" w:name="_Toc427840290"/>
      <w:r>
        <w:rPr/>
        <w:t>POLICY</w:t>
      </w:r>
      <w:bookmarkEnd w:id="60"/>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1" w:name="_Toc427840291"/>
      <w:r>
        <w:rPr/>
        <w:t>ACTIVITIES</w:t>
      </w:r>
      <w:bookmarkEnd w:id="61"/>
    </w:p>
    <w:p>
      <w:pPr>
        <w:pStyle w:val="Normal"/>
        <w:rPr/>
      </w:pPr>
      <w:r>
        <w:rPr/>
      </w:r>
    </w:p>
    <w:p>
      <w:pPr>
        <w:pStyle w:val="Heading2"/>
        <w:rPr/>
      </w:pPr>
      <w:bookmarkStart w:id="62" w:name="_Toc427840292"/>
      <w:r>
        <w:rPr/>
        <w:t>PURPOSE:</w:t>
      </w:r>
      <w:bookmarkEnd w:id="62"/>
    </w:p>
    <w:p>
      <w:pPr>
        <w:pStyle w:val="Normal"/>
        <w:rPr/>
      </w:pPr>
      <w:r>
        <w:rP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They do not replace group contributions in funding Area services.  </w:t>
      </w:r>
    </w:p>
    <w:p>
      <w:pPr>
        <w:pStyle w:val="Normal"/>
        <w:rPr/>
      </w:pPr>
      <w:r>
        <w:rPr/>
      </w:r>
    </w:p>
    <w:p>
      <w:pPr>
        <w:pStyle w:val="Heading2"/>
        <w:rPr/>
      </w:pPr>
      <w:bookmarkStart w:id="63" w:name="_Toc427840293"/>
      <w:r>
        <w:rPr/>
        <w:t>MEETINGS AND MEMBERSHIP:</w:t>
      </w:r>
      <w:bookmarkEnd w:id="63"/>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4" w:name="_Toc427840294"/>
      <w:r>
        <w:rPr/>
        <w:t>REQUIREMENTS AND DUTIES OF OFFICERS:</w:t>
      </w:r>
      <w:bookmarkEnd w:id="64"/>
    </w:p>
    <w:p>
      <w:pPr>
        <w:pStyle w:val="Normal"/>
        <w:rPr/>
      </w:pPr>
      <w:r>
        <w:rPr/>
      </w:r>
    </w:p>
    <w:p>
      <w:pPr>
        <w:pStyle w:val="Heading2"/>
        <w:rPr/>
      </w:pPr>
      <w:bookmarkStart w:id="65" w:name="_Toc427840295"/>
      <w:r>
        <w:rPr/>
        <w:t>CHAIRPERSON:</w:t>
      </w:r>
      <w:bookmarkEnd w:id="65"/>
    </w:p>
    <w:p>
      <w:pPr>
        <w:pStyle w:val="Heading2"/>
        <w:rPr/>
      </w:pPr>
      <w:bookmarkStart w:id="66" w:name="_Toc427840296"/>
      <w:r>
        <w:rPr/>
        <w:t>Requirements:</w:t>
      </w:r>
      <w:bookmarkEnd w:id="66"/>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7" w:name="_Toc427840297"/>
      <w:r>
        <w:rPr/>
        <w:t>Duties:</w:t>
      </w:r>
      <w:bookmarkEnd w:id="67"/>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Responsible for p</w:t>
      </w:r>
      <w:r>
        <w:rPr/>
        <w:t>r</w:t>
      </w:r>
      <w:r>
        <w:rPr/>
        <w:t>ocuring activity startup funds from ASC and to submit a detailed financial report following activities.</w:t>
      </w:r>
    </w:p>
    <w:p>
      <w:pPr>
        <w:pStyle w:val="Normal"/>
        <w:ind w:left="720" w:hanging="720"/>
        <w:rPr/>
      </w:pPr>
      <w:r>
        <w:rPr/>
      </w:r>
    </w:p>
    <w:p>
      <w:pPr>
        <w:pStyle w:val="Heading2"/>
        <w:rPr/>
      </w:pPr>
      <w:bookmarkStart w:id="68" w:name="_Toc427840298"/>
      <w:r>
        <w:rPr/>
        <w:t>VICE-CHAIRPERSON:</w:t>
      </w:r>
      <w:bookmarkEnd w:id="68"/>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9" w:name="_Toc427840299"/>
      <w:r>
        <w:rPr/>
        <w:t>SECRETARY:</w:t>
      </w:r>
      <w:bookmarkEnd w:id="69"/>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70" w:name="_Toc427840300"/>
      <w:r>
        <w:rPr/>
        <w:t>RESPONSIBILITIES OF THE ACTIVITIES SUBCOMMITTEE:</w:t>
      </w:r>
      <w:bookmarkEnd w:id="70"/>
    </w:p>
    <w:p>
      <w:pPr>
        <w:pStyle w:val="Normal"/>
        <w:rPr/>
      </w:pPr>
      <w:r>
        <w:rPr/>
      </w:r>
    </w:p>
    <w:p>
      <w:pPr>
        <w:pStyle w:val="Normal"/>
        <w:rPr/>
      </w:pPr>
      <w:r>
        <w:rPr/>
        <w:tab/>
      </w:r>
    </w:p>
    <w:p>
      <w:pPr>
        <w:pStyle w:val="Normal"/>
        <w:rPr/>
      </w:pPr>
      <w:r>
        <w:rPr/>
        <w:t>1.</w:t>
        <w:tab/>
        <w:t>To plan functions within the area throughout the year.</w:t>
      </w:r>
    </w:p>
    <w:p>
      <w:pPr>
        <w:pStyle w:val="Normal"/>
        <w:rPr/>
      </w:pPr>
      <w:r>
        <w:rPr/>
        <w:t>2.</w:t>
        <w:tab/>
        <w:t>To coordinate with home groups to host functions at their locations</w:t>
      </w:r>
    </w:p>
    <w:p>
      <w:pPr>
        <w:pStyle w:val="Normal"/>
        <w:rPr/>
      </w:pPr>
      <w:r>
        <w:rPr/>
        <w:t>3.</w:t>
        <w:tab/>
        <w:t>To have a function every other month.</w:t>
      </w:r>
    </w:p>
    <w:p>
      <w:pPr>
        <w:pStyle w:val="Normal"/>
        <w:rPr/>
      </w:pPr>
      <w:r>
        <w:rPr/>
        <w:t>4.</w:t>
        <w:tab/>
        <w:t xml:space="preserve">To plan a learning Day with support of Area and Region H&amp;I </w:t>
      </w:r>
      <w:r>
        <w:rPr/>
        <w:t>and</w:t>
      </w:r>
      <w:r>
        <w:rPr/>
        <w:t xml:space="preserve"> </w:t>
      </w:r>
      <w:r>
        <w:rPr/>
        <w:t>FD</w:t>
      </w:r>
      <w:r>
        <w:rPr/>
        <w:t xml:space="preserve"> Subcommittees in addition to the regular activity schedule</w:t>
      </w:r>
    </w:p>
    <w:p>
      <w:pPr>
        <w:pStyle w:val="Normal"/>
        <w:rPr/>
      </w:pPr>
      <w:r>
        <w:rPr/>
        <w:t>5.</w:t>
        <w:tab/>
        <w:t>Additional activities as designated by Activities Subcommittee</w:t>
      </w:r>
    </w:p>
    <w:p>
      <w:pPr>
        <w:pStyle w:val="Normal"/>
        <w:rPr/>
      </w:pPr>
      <w:r>
        <w:rPr/>
        <w:t>6.</w:t>
        <w:tab/>
        <w:t>Produce event flyers for distribution to groups within the Area</w:t>
      </w:r>
    </w:p>
    <w:p>
      <w:pPr>
        <w:pStyle w:val="Normal"/>
        <w:ind w:left="720" w:hanging="720"/>
        <w:rPr/>
      </w:pPr>
      <w:r>
        <w:rPr/>
        <w:t>7.</w:t>
        <w:tab/>
        <w:t>Chairperson is responsible and accountable for Activities start-up funds, and will return all money to one of the cosigners of the SASCNA bank account at the next ASC and present a detailed financial report to the ASC.</w:t>
      </w:r>
    </w:p>
    <w:p>
      <w:pPr>
        <w:pStyle w:val="Normal"/>
        <w:ind w:left="720" w:hanging="720"/>
        <w:rPr/>
      </w:pPr>
      <w:r>
        <w:rPr/>
        <w:t>8.</w:t>
        <w:tab/>
        <w:t>Inventory shall be taken before and after each function.  Nonperishable goods shall be held until the next function.  All perishables shall be donated to fellowship-based houses.</w:t>
      </w:r>
    </w:p>
    <w:p>
      <w:pPr>
        <w:pStyle w:val="Normal"/>
        <w:ind w:left="720" w:hanging="720"/>
        <w:rPr/>
      </w:pPr>
      <w:r>
        <w:rPr/>
        <w:t>9.</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Treasurer at the next ASC or can be deposited directly into the SASCNA checking account by the Activities Chairperson.  In the absence of the Area Treasurer, money can be turned over to the Area Chairperson or Vice-Chairperson.</w:t>
      </w:r>
      <w:bookmarkStart w:id="71" w:name="_Toc427840301"/>
      <w:bookmarkEnd w:id="71"/>
      <w:r>
        <w:rPr/>
        <w:t xml:space="preserve"> </w:t>
      </w:r>
    </w:p>
    <w:p>
      <w:pPr>
        <w:pStyle w:val="Normal"/>
        <w:rPr/>
      </w:pPr>
      <w:r>
        <w:rPr/>
      </w:r>
    </w:p>
    <w:p>
      <w:pPr>
        <w:pStyle w:val="Heading1"/>
        <w:jc w:val="left"/>
        <w:rPr/>
      </w:pPr>
      <w:bookmarkStart w:id="72" w:name="_Toc427840302"/>
      <w:r>
        <w:rPr/>
        <w:t>HOSPITALS AND INSTITUTIONS</w:t>
      </w:r>
      <w:bookmarkEnd w:id="72"/>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w:t>
      </w:r>
      <w:r>
        <w:rPr/>
        <w:t>SIXTY</w:t>
      </w:r>
      <w:r>
        <w:rPr/>
        <w:t xml:space="preserve"> (</w:t>
      </w:r>
      <w:r>
        <w:rPr/>
        <w:t>6</w:t>
      </w:r>
      <w:r>
        <w:rPr/>
        <w:t>0) DAYS CLEAN TIME, SUGGESTED SIX (6) MONTHS CLEAN TIME.  The Chairperson will brief panel members of the Do’s and Don</w:t>
      </w:r>
      <w:r>
        <w:rPr/>
        <w:t>t’</w:t>
      </w:r>
      <w:r>
        <w:rPr/>
        <w:t xml:space="preserve">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3" w:name="_Toc427840303"/>
      <w:r>
        <w:rPr/>
        <w:t>LITERATURE</w:t>
      </w:r>
      <w:bookmarkEnd w:id="73"/>
    </w:p>
    <w:p>
      <w:pPr>
        <w:pStyle w:val="Normal"/>
        <w:rPr/>
      </w:pPr>
      <w:r>
        <w:rPr/>
      </w:r>
    </w:p>
    <w:p>
      <w:pPr>
        <w:pStyle w:val="Heading2"/>
        <w:rPr/>
      </w:pPr>
      <w:bookmarkStart w:id="74" w:name="_Toc427840304"/>
      <w:r>
        <w:rPr/>
        <w:t>PURPOSE:</w:t>
      </w:r>
      <w:bookmarkEnd w:id="74"/>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5" w:name="_Toc427840305"/>
      <w:r>
        <w:rPr/>
        <w:t>RESPONSIBILITIES:</w:t>
      </w:r>
      <w:bookmarkEnd w:id="75"/>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6" w:name="_Toc427840306"/>
      <w:r>
        <w:rPr/>
        <w:t>Large Orders:</w:t>
      </w:r>
      <w:bookmarkEnd w:id="76"/>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7" w:name="_Toc427840307"/>
      <w:r>
        <w:rPr/>
        <w:t>Special Orders:</w:t>
      </w:r>
      <w:bookmarkEnd w:id="77"/>
    </w:p>
    <w:p>
      <w:pPr>
        <w:pStyle w:val="Normal"/>
        <w:rPr/>
      </w:pPr>
      <w:r>
        <w:rPr/>
        <w:tab/>
        <w:t>Some items must be paid for in advance.</w:t>
      </w:r>
    </w:p>
    <w:p>
      <w:pPr>
        <w:pStyle w:val="Normal"/>
        <w:rPr/>
      </w:pPr>
      <w:r>
        <w:rPr/>
      </w:r>
      <w:bookmarkStart w:id="78" w:name="_Toc427840308"/>
      <w:bookmarkStart w:id="79" w:name="_Toc427840308"/>
      <w:bookmarkEnd w:id="79"/>
    </w:p>
    <w:p>
      <w:pPr>
        <w:pStyle w:val="Normal"/>
        <w:rPr/>
      </w:pPr>
      <w:r>
        <w:rPr/>
      </w:r>
    </w:p>
    <w:p>
      <w:pPr>
        <w:pStyle w:val="Normal"/>
        <w:ind w:left="720" w:hanging="720"/>
        <w:jc w:val="center"/>
        <w:rPr/>
      </w:pPr>
      <w:bookmarkStart w:id="80" w:name="_Toc427840311"/>
      <w:bookmarkEnd w:id="80"/>
      <w:r>
        <w:rPr>
          <w:b/>
          <w:bCs/>
        </w:rPr>
        <w:t>S</w:t>
      </w:r>
      <w:bookmarkStart w:id="81" w:name="_Toc427840319"/>
      <w:r>
        <w:rPr>
          <w:b/>
          <w:bCs/>
        </w:rPr>
        <w:t>E</w:t>
      </w:r>
      <w:r>
        <w:rPr>
          <w:b/>
          <w:bCs/>
        </w:rPr>
        <w:t>RE</w:t>
      </w:r>
      <w:r>
        <w:rPr>
          <w:b/>
          <w:bCs/>
        </w:rPr>
        <w:t>NITY AREA OF NARCOTICS ANONYMOUS WEBSITE SUBCOMMITTEE POLICY AND GUIDELIN</w:t>
      </w:r>
      <w:r>
        <w:rPr/>
        <w:t>ES</w:t>
      </w:r>
      <w:bookmarkEnd w:id="81"/>
    </w:p>
    <w:p>
      <w:pPr>
        <w:pStyle w:val="Normal"/>
        <w:rPr/>
      </w:pPr>
      <w:r>
        <w:rPr/>
      </w:r>
    </w:p>
    <w:p>
      <w:pPr>
        <w:pStyle w:val="Heading2"/>
        <w:rPr/>
      </w:pPr>
      <w:bookmarkStart w:id="82" w:name="_Toc427840320"/>
      <w:r>
        <w:rPr/>
        <w:t>INTRODUCTION</w:t>
      </w:r>
      <w:bookmarkEnd w:id="82"/>
    </w:p>
    <w:p>
      <w:pPr>
        <w:pStyle w:val="Normal"/>
        <w:rPr/>
      </w:pPr>
      <w:r>
        <w:rPr/>
        <w:t>The following outlines policy and guidelines for the Serenity Area of Narcotics Anonymous’ Service Web</w:t>
      </w:r>
      <w:r>
        <w:rPr/>
        <w:t>servant</w:t>
      </w:r>
      <w:r>
        <w:rPr/>
        <w:t xml:space="preserve">.  The following guidelines are derived from the decisions and policies created by the </w:t>
      </w:r>
      <w:r>
        <w:rPr/>
        <w:t>FD</w:t>
      </w:r>
      <w:r>
        <w:rPr/>
        <w:t xml:space="preserve"> and Policy Subcommittee.  In addition, they reflect policy or guidelines that are pertinent to the Serenity Area Service Committee.</w:t>
      </w:r>
    </w:p>
    <w:p>
      <w:pPr>
        <w:pStyle w:val="Normal"/>
        <w:rPr/>
      </w:pPr>
      <w:r>
        <w:rPr/>
      </w:r>
    </w:p>
    <w:p>
      <w:pPr>
        <w:pStyle w:val="Heading2"/>
        <w:rPr/>
      </w:pPr>
      <w:bookmarkStart w:id="83" w:name="_Toc427840321"/>
      <w:r>
        <w:rPr/>
        <w:t>I.  PURPOSE, NAME, AND ACCOUNTABILITY:</w:t>
      </w:r>
      <w:bookmarkEnd w:id="83"/>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This Web</w:t>
      </w:r>
      <w:r>
        <w:rPr/>
        <w:t>servant</w:t>
      </w:r>
      <w:r>
        <w:rPr/>
        <w:t xml:space="preserve"> shall maintain the Serenity Area of Narcotics Anonymous’ website so to make information about the Serenity Area and Narcotics Anonymous as a whole available to the public, to addicts who might need NA, and to our current membership.  In addition, the Web</w:t>
      </w:r>
      <w:r>
        <w:rPr/>
        <w:t>servant</w:t>
      </w:r>
      <w:r>
        <w:rPr/>
        <w:t xml:space="preserve"> shall recommend and implement communication enhancement technology that the Serenity ASC may or may not choose to implement.  </w:t>
      </w:r>
    </w:p>
    <w:p>
      <w:pPr>
        <w:pStyle w:val="Normal"/>
        <w:rPr/>
      </w:pPr>
      <w:r>
        <w:rPr/>
        <w:t>C.</w:t>
        <w:tab/>
        <w:t>The name of the trusted servant responsible for publishing and maintaining the Serenity ASC website is the “Serenity ASC Web</w:t>
      </w:r>
      <w:r>
        <w:rPr/>
        <w:t>servant</w:t>
      </w:r>
      <w:r>
        <w:rPr/>
        <w:t>”.  This Web</w:t>
      </w:r>
      <w:r>
        <w:rPr/>
        <w:t>servant</w:t>
      </w:r>
      <w:r>
        <w:rPr/>
        <w:t xml:space="preserve"> is accountable to the NA Fellowship through the Serenity Area Service Committee through its </w:t>
      </w:r>
      <w:r>
        <w:rPr/>
        <w:t xml:space="preserve">FD </w:t>
      </w:r>
      <w:r>
        <w:rPr/>
        <w:t xml:space="preserve">Subcommittee.  The </w:t>
      </w:r>
      <w:r>
        <w:rPr/>
        <w:t xml:space="preserve">FD </w:t>
      </w:r>
      <w:r>
        <w:rPr/>
        <w:t>Chairperson is the single point of accountability for the We</w:t>
      </w:r>
      <w:r>
        <w:rPr/>
        <w:t>bservant</w:t>
      </w:r>
      <w:r>
        <w:rPr/>
        <w:t xml:space="preserve"> and is responsible to the Serenity ASC. </w:t>
      </w:r>
    </w:p>
    <w:p>
      <w:pPr>
        <w:pStyle w:val="Normal"/>
        <w:rPr/>
      </w:pPr>
      <w:r>
        <w:rPr/>
        <w:t>D.</w:t>
        <w:tab/>
        <w:t>The Uniform Resource Locator (URL) for this site is (</w:t>
      </w:r>
      <w:r>
        <w:rPr/>
        <w:t>serenityna.org</w:t>
      </w:r>
      <w:r>
        <w:rPr/>
        <w:t>).</w:t>
      </w:r>
    </w:p>
    <w:p>
      <w:pPr>
        <w:pStyle w:val="Normal"/>
        <w:rPr/>
      </w:pPr>
      <w:r>
        <w:rPr/>
      </w:r>
    </w:p>
    <w:p>
      <w:pPr>
        <w:pStyle w:val="Heading2"/>
        <w:rPr/>
      </w:pPr>
      <w:bookmarkStart w:id="84" w:name="_Toc427840322"/>
      <w:r>
        <w:rPr/>
        <w:t>II.  FINANCES AND OWNERSHIP:</w:t>
      </w:r>
      <w:bookmarkEnd w:id="84"/>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w:t>
      </w:r>
      <w:r>
        <w:rPr/>
        <w:t>servant</w:t>
      </w:r>
      <w:r>
        <w:rPr/>
        <w:t xml:space="preserve">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w:t>
      </w:r>
      <w:r>
        <w:rPr/>
        <w:t>serenityna.org</w:t>
      </w:r>
      <w:r>
        <w:rPr/>
        <w:t>” and website contents.  This Web</w:t>
      </w:r>
      <w:r>
        <w:rPr/>
        <w:t>servant</w:t>
      </w:r>
      <w:r>
        <w:rPr/>
        <w:t xml:space="preserve"> is responsible for maintaining the ownership of the domain name for the Serenity ASC.</w:t>
      </w:r>
    </w:p>
    <w:p>
      <w:pPr>
        <w:pStyle w:val="Normal"/>
        <w:rPr/>
      </w:pPr>
      <w:r>
        <w:rPr/>
        <w:t>D.</w:t>
        <w:tab/>
        <w:t>The We</w:t>
      </w:r>
      <w:r>
        <w:rPr/>
        <w:t>bservant</w:t>
      </w:r>
      <w:r>
        <w:rPr/>
        <w:t xml:space="preserve"> is responsible for investigating and choosing a vendor for hosting the Serenity ASC website.  Final responsibility rests with the Serenity ASC for distribution of funds.</w:t>
      </w:r>
    </w:p>
    <w:p>
      <w:pPr>
        <w:pStyle w:val="Normal"/>
        <w:rPr/>
      </w:pPr>
      <w:r>
        <w:rPr/>
        <w:t>E.</w:t>
        <w:tab/>
        <w:t>The Serenity ASC is responsible for securing all software licenses used by the Web</w:t>
      </w:r>
      <w:r>
        <w:rPr/>
        <w:t>servant</w:t>
      </w:r>
      <w:r>
        <w:rPr/>
        <w:t xml:space="preserve">.  </w:t>
      </w:r>
    </w:p>
    <w:p>
      <w:pPr>
        <w:pStyle w:val="Normal"/>
        <w:rPr/>
      </w:pPr>
      <w:r>
        <w:rPr/>
      </w:r>
    </w:p>
    <w:p>
      <w:pPr>
        <w:pStyle w:val="Heading2"/>
        <w:rPr/>
      </w:pPr>
      <w:bookmarkStart w:id="85" w:name="_Toc427840323"/>
      <w:r>
        <w:rPr/>
        <w:t>III.  REPORTING AND COMMUNICATIONS</w:t>
      </w:r>
      <w:bookmarkEnd w:id="85"/>
    </w:p>
    <w:p>
      <w:pPr>
        <w:pStyle w:val="Normal"/>
        <w:rPr/>
      </w:pPr>
      <w:r>
        <w:rPr/>
        <w:t>A.</w:t>
        <w:tab/>
        <w:t>The Web</w:t>
      </w:r>
      <w:r>
        <w:rPr/>
        <w:t>servant</w:t>
      </w:r>
      <w:r>
        <w:rPr/>
        <w:t xml:space="preserve"> shall submit a written report to the Serenity Area Service Committee at each ASC meeting.  This report communicates all financial, technical, and correspondence related to the operation of the website. </w:t>
      </w:r>
    </w:p>
    <w:p>
      <w:pPr>
        <w:pStyle w:val="Normal"/>
        <w:rPr/>
      </w:pPr>
      <w:r>
        <w:rPr/>
        <w:t>B.</w:t>
        <w:tab/>
        <w:t>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w:t>
      </w:r>
      <w:r>
        <w:rPr/>
        <w:t>servant</w:t>
      </w:r>
      <w:r>
        <w:rPr/>
        <w:t xml:space="preserve">.  Website feedback will be distributed to members of the </w:t>
      </w:r>
      <w:r>
        <w:rPr/>
        <w:t>FD</w:t>
      </w:r>
      <w:r>
        <w:rPr/>
        <w:t xml:space="preserve"> Subcommittee.  </w:t>
      </w:r>
    </w:p>
    <w:p>
      <w:pPr>
        <w:pStyle w:val="Normal"/>
        <w:rPr/>
      </w:pPr>
      <w:r>
        <w:rPr/>
        <w:t>C.</w:t>
        <w:tab/>
        <w:t>Email addresses will be established for the Serenity ASC, Area Service Committees and other trusted servants as needed.  The Serenity Website Subcommittee will provide a distribution mechanism for all emails received through the “</w:t>
      </w:r>
      <w:r>
        <w:rPr/>
        <w:t>serenityna.org</w:t>
      </w:r>
      <w:r>
        <w:rPr/>
        <w:t xml:space="preserv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A single point of contact for each Area Service Subcommittee is established for the purpose of communications to the Web</w:t>
      </w:r>
      <w:r>
        <w:rPr/>
        <w:t>servant</w:t>
      </w:r>
      <w:r>
        <w:rPr/>
        <w:t xml:space="preserve">.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6" w:name="_Toc427840324"/>
      <w:r>
        <w:rPr/>
        <w:t>IV.  WEB</w:t>
      </w:r>
      <w:r>
        <w:rPr/>
        <w:t>SERVANT</w:t>
      </w:r>
      <w:r>
        <w:rPr/>
        <w:t xml:space="preserve"> DUTIES:</w:t>
      </w:r>
      <w:bookmarkEnd w:id="86"/>
    </w:p>
    <w:p>
      <w:pPr>
        <w:pStyle w:val="Normal"/>
        <w:rPr/>
      </w:pPr>
      <w:r>
        <w:rPr/>
        <w:t>The Serenity Area Service Committee (ASC) elects a Web</w:t>
      </w:r>
      <w:r>
        <w:rPr/>
        <w:t>servant</w:t>
      </w:r>
      <w:r>
        <w:rPr/>
        <w:t>.  The Web</w:t>
      </w:r>
      <w:r>
        <w:rPr/>
        <w:t>servant</w:t>
      </w:r>
      <w:r>
        <w:rPr/>
        <w:t xml:space="preserve"> role can be subdivided into separate roles if willing members present themselves.  These separate roles are Web servant, E-mail servant, and Meeting List servant.  In the event that the separate roles are not filled, the Web</w:t>
      </w:r>
      <w:r>
        <w:rPr/>
        <w:t xml:space="preserve">servant </w:t>
      </w:r>
      <w:r>
        <w:rPr/>
        <w:t xml:space="preserve">is responsible for all roles listed below.  </w:t>
      </w:r>
    </w:p>
    <w:p>
      <w:pPr>
        <w:pStyle w:val="Normal"/>
        <w:rPr/>
      </w:pPr>
      <w:r>
        <w:rPr/>
      </w:r>
    </w:p>
    <w:p>
      <w:pPr>
        <w:pStyle w:val="Heading3"/>
        <w:rPr/>
      </w:pPr>
      <w:bookmarkStart w:id="87" w:name="_Toc427840325"/>
      <w:r>
        <w:rPr/>
        <w:t>Duties of the Web Servant:</w:t>
      </w:r>
      <w:bookmarkEnd w:id="87"/>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8" w:name="_Toc427840326"/>
      <w:r>
        <w:rPr/>
        <w:t>Duties of the Email Servant:</w:t>
      </w:r>
      <w:bookmarkEnd w:id="88"/>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 xml:space="preserve">Present month reports at </w:t>
      </w:r>
      <w:r>
        <w:rPr/>
        <w:t>FD</w:t>
      </w:r>
      <w:r>
        <w:rPr/>
        <w:t xml:space="preserve"> Subcommittee,</w:t>
      </w:r>
    </w:p>
    <w:p>
      <w:pPr>
        <w:pStyle w:val="Normal"/>
        <w:rPr/>
      </w:pPr>
      <w:r>
        <w:rPr/>
      </w:r>
    </w:p>
    <w:p>
      <w:pPr>
        <w:pStyle w:val="Heading3"/>
        <w:rPr/>
      </w:pPr>
      <w:bookmarkStart w:id="89" w:name="_Toc427840327"/>
      <w:r>
        <w:rPr/>
        <w:t>Duties of the Meeting List Servant:</w:t>
      </w:r>
      <w:bookmarkEnd w:id="89"/>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w:t>
      </w:r>
      <w:r>
        <w:rPr/>
        <w:t>FD</w:t>
      </w:r>
      <w:r>
        <w:rPr/>
        <w:t xml:space="preserve"> Subcommittee. </w:t>
      </w:r>
    </w:p>
    <w:p>
      <w:pPr>
        <w:pStyle w:val="Normal"/>
        <w:rPr/>
      </w:pPr>
      <w:r>
        <w:rPr/>
      </w:r>
    </w:p>
    <w:p>
      <w:pPr>
        <w:pStyle w:val="Heading2"/>
        <w:rPr/>
      </w:pPr>
      <w:bookmarkStart w:id="90" w:name="_Toc427840328"/>
      <w:r>
        <w:rPr/>
        <w:t>V.  QUALIFICATIONS FOR WEBMASTER OR OTHER ROLES:</w:t>
      </w:r>
      <w:bookmarkEnd w:id="90"/>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91" w:name="_Toc427840329"/>
      <w:r>
        <w:rPr/>
        <w:t>VI.  WEBSITE CONTENT:</w:t>
      </w:r>
      <w:bookmarkEnd w:id="91"/>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w:t>
      </w:r>
      <w:r>
        <w:rPr/>
        <w:t>FD</w:t>
      </w:r>
      <w:r>
        <w:rPr/>
        <w:t xml:space="preserve">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2" w:name="_Toc427840330"/>
      <w:r>
        <w:rPr/>
        <w:t>VII.  EMAIL GUIDELINES:</w:t>
      </w:r>
      <w:bookmarkEnd w:id="92"/>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w:t>
      </w:r>
      <w:r>
        <w:rPr/>
        <w:t>serenityna.org</w:t>
      </w:r>
      <w:r>
        <w:rPr/>
        <w:t>) email correspondence.  This includes, but is not limited to:  personal phone numbers, non-(</w:t>
      </w:r>
      <w:r>
        <w:rPr/>
        <w:t>serenityna.org</w:t>
      </w:r>
      <w:r>
        <w:rPr/>
        <w:t>) mailing addresses, non-official NA web links, etc.</w:t>
      </w:r>
    </w:p>
    <w:p>
      <w:pPr>
        <w:pStyle w:val="Normal"/>
        <w:rPr/>
      </w:pPr>
      <w:r>
        <w:rPr/>
        <w:t>F.</w:t>
        <w:tab/>
        <w:t>At no time shall any (</w:t>
      </w:r>
      <w:r>
        <w:rPr/>
        <w:t>serenityna.org</w:t>
      </w:r>
      <w:r>
        <w:rPr/>
        <w:t>) official email address or the email address of correspondence coming to an (</w:t>
      </w:r>
      <w:r>
        <w:rPr/>
        <w:t>serenityna.org</w:t>
      </w:r>
      <w:r>
        <w:rPr/>
        <w:t>) official email account be included in any non-NA related communications.  For example, the admin @(</w:t>
      </w:r>
      <w:r>
        <w:rPr/>
        <w:t>serenityna.org</w:t>
      </w:r>
      <w:r>
        <w:rPr/>
        <w:t>) email address should never be used to sign up for participation in a non-NA mailing list.  Another example is the common practice of including people we have in our email address book in “FWD:  Pass this on” type spam, junk mail, humor, and so forth.  This is unacceptable misuse of the (</w:t>
      </w:r>
      <w:r>
        <w:rPr/>
        <w:t>serenityna.org</w:t>
      </w:r>
      <w:r>
        <w:rPr/>
        <w:t xml:space="preserve">) email, regardless of the perceived innocence of such email.  </w:t>
      </w:r>
    </w:p>
    <w:p>
      <w:pPr>
        <w:pStyle w:val="Normal"/>
        <w:rPr/>
      </w:pPr>
      <w:r>
        <w:rPr/>
      </w:r>
    </w:p>
    <w:p>
      <w:pPr>
        <w:pStyle w:val="Heading2"/>
        <w:rPr/>
      </w:pPr>
      <w:bookmarkStart w:id="93" w:name="_Toc427840331"/>
      <w:r>
        <w:rPr/>
        <w:t>VIII.  TECHNICAL GUIDELINES</w:t>
      </w:r>
      <w:bookmarkEnd w:id="93"/>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w:t>
      </w:r>
      <w:r>
        <w:rPr/>
        <w:t>servant</w:t>
      </w:r>
      <w:r>
        <w:rPr/>
        <w:t xml:space="preserve">, and the Serenity ASC Chairperson only.  Passwords will be changed when positions rotate each </w:t>
      </w:r>
      <w:r>
        <w:rPr/>
        <w:t>Augu</w:t>
      </w:r>
      <w:bookmarkStart w:id="94" w:name="_Toc427840332"/>
      <w:r>
        <w:rPr/>
        <w:t>s</w:t>
      </w:r>
      <w:bookmarkEnd w:id="94"/>
      <w:r>
        <w:rPr/>
        <w:t>t.</w:t>
      </w:r>
    </w:p>
    <w:p>
      <w:pPr>
        <w:pStyle w:val="Normal"/>
        <w:rPr/>
      </w:pPr>
      <w:r>
        <w:rPr/>
      </w:r>
    </w:p>
    <w:p>
      <w:pPr>
        <w:pStyle w:val="Heading1"/>
        <w:jc w:val="left"/>
        <w:rPr/>
      </w:pPr>
      <w:bookmarkStart w:id="95" w:name="_Toc427840333"/>
      <w:r>
        <w:rPr/>
        <w:t>CONFLICTS OF INTEREST POLICY</w:t>
      </w:r>
      <w:bookmarkEnd w:id="95"/>
    </w:p>
    <w:p>
      <w:pPr>
        <w:pStyle w:val="Heading2"/>
        <w:rPr/>
      </w:pPr>
      <w:bookmarkStart w:id="96" w:name="_Toc427840334"/>
      <w:r>
        <w:rPr/>
        <w:t>I.  REASON FOR STATEMENT</w:t>
      </w:r>
      <w:bookmarkEnd w:id="96"/>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7" w:name="_Toc427840335"/>
      <w:r>
        <w:rPr/>
        <w:t>2.  PERSONS CONCERNED</w:t>
      </w:r>
      <w:bookmarkEnd w:id="97"/>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8" w:name="_Toc427840336"/>
      <w:r>
        <w:rPr/>
        <w:t>3.  AREAS IN WHICH CONFLICT MAY ARISE</w:t>
      </w:r>
      <w:bookmarkEnd w:id="98"/>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w:t>
      </w:r>
      <w:r>
        <w:rPr/>
        <w:t>or</w:t>
      </w:r>
      <w:r>
        <w:rPr/>
        <w:t xml:space="preserve">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9" w:name="_Toc427840337"/>
      <w:r>
        <w:rPr/>
        <w:t>4.  NATURE OF CONFLICTING INTEREST</w:t>
      </w:r>
      <w:bookmarkEnd w:id="99"/>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100" w:name="_Toc427840338"/>
      <w:r>
        <w:rPr/>
        <w:t>5.  INDIRECT INTERESTS</w:t>
      </w:r>
      <w:bookmarkEnd w:id="100"/>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101" w:name="_Toc427840339"/>
      <w:r>
        <w:rPr/>
        <w:t>6.  INTERPRETATION OF THIS STATEMENT OF POLICY</w:t>
      </w:r>
      <w:bookmarkEnd w:id="101"/>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2" w:name="_Toc427840340"/>
      <w:r>
        <w:rPr/>
        <w:t>NEPOTISM POLICY</w:t>
      </w:r>
      <w:bookmarkEnd w:id="102"/>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b/>
        </w:rPr>
        <w:t>Certification</w:t>
      </w:r>
    </w:p>
    <w:p>
      <w:pPr>
        <w:pStyle w:val="Normal"/>
        <w:jc w:val="center"/>
        <w:rPr>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3" w:name="_Toc427840341"/>
      <w:r>
        <w:rPr/>
        <w:t>THE 12 TRADITIONS OF NARCOTICS ANONYMOUS</w:t>
      </w:r>
      <w:bookmarkEnd w:id="103"/>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4" w:name="_Toc427840342"/>
      <w:r>
        <w:rPr/>
        <w:t>FIRST TWO PARAGRAPHS OF TRADITION TWO</w:t>
      </w:r>
      <w:bookmarkEnd w:id="104"/>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5" w:name="_Toc427840343"/>
      <w:r>
        <w:rPr/>
        <w:t>THE TWELVE CONCEPTS OF NARCOTICS ANONYMOUS</w:t>
      </w:r>
      <w:bookmarkEnd w:id="105"/>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Bold">
    <w:charset w:val="00"/>
    <w:family w:val="roman"/>
    <w:pitch w:val="variable"/>
  </w:font>
  <w:font w:name="BlairMdITC TT-Medium">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Application>LibreOffice/7.5.4.2$Windows_X86_64 LibreOffice_project/36ccfdc35048b057fd9854c757a8b67ec53977b6</Application>
  <AppVersion>15.0000</AppVersion>
  <Pages>35</Pages>
  <Words>11346</Words>
  <Characters>58867</Characters>
  <CharactersWithSpaces>70280</CharactersWithSpaces>
  <Paragraphs>629</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2023-07-16T14:39:35Z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